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仿宋" w:eastAsia="方正小标宋简体" w:cs="Times New Roman"/>
          <w:color w:val="000000"/>
          <w:sz w:val="44"/>
          <w:szCs w:val="44"/>
        </w:rPr>
      </w:pPr>
      <w:bookmarkStart w:id="0" w:name="_GoBack"/>
      <w:r>
        <w:rPr>
          <w:rFonts w:hint="eastAsia" w:ascii="方正小标宋简体" w:hAnsi="仿宋" w:eastAsia="方正小标宋简体" w:cs="方正小标宋简体"/>
          <w:color w:val="000000"/>
          <w:sz w:val="44"/>
          <w:szCs w:val="44"/>
        </w:rPr>
        <w:t>关于《</w:t>
      </w:r>
      <w:r>
        <w:rPr>
          <w:rFonts w:hint="eastAsia" w:ascii="方正小标宋简体" w:hAnsi="仿宋" w:eastAsia="方正小标宋简体" w:cs="方正小标宋简体"/>
          <w:sz w:val="44"/>
          <w:szCs w:val="44"/>
        </w:rPr>
        <w:t>遂平县紧密型医共体建设实施方案</w:t>
      </w:r>
      <w:r>
        <w:rPr>
          <w:rFonts w:hint="eastAsia" w:ascii="方正小标宋简体" w:hAnsi="仿宋" w:eastAsia="方正小标宋简体" w:cs="方正小标宋简体"/>
          <w:color w:val="000000"/>
          <w:sz w:val="44"/>
          <w:szCs w:val="44"/>
        </w:rPr>
        <w:t>》</w:t>
      </w:r>
    </w:p>
    <w:p>
      <w:pPr>
        <w:spacing w:line="560" w:lineRule="exact"/>
        <w:jc w:val="center"/>
        <w:rPr>
          <w:rFonts w:ascii="方正小标宋简体" w:hAnsi="仿宋" w:eastAsia="方正小标宋简体" w:cs="Times New Roman"/>
          <w:sz w:val="44"/>
          <w:szCs w:val="44"/>
        </w:rPr>
      </w:pPr>
      <w:r>
        <w:rPr>
          <w:rFonts w:hint="eastAsia" w:ascii="方正小标宋简体" w:hAnsi="仿宋" w:eastAsia="方正小标宋简体" w:cs="方正小标宋简体"/>
          <w:color w:val="000000"/>
          <w:sz w:val="44"/>
          <w:szCs w:val="44"/>
        </w:rPr>
        <w:t>政策解读</w:t>
      </w:r>
      <w:bookmarkEnd w:id="0"/>
    </w:p>
    <w:p>
      <w:pPr>
        <w:pStyle w:val="2"/>
        <w:widowControl/>
        <w:spacing w:line="560" w:lineRule="exact"/>
        <w:ind w:firstLine="640" w:firstLineChars="200"/>
        <w:jc w:val="both"/>
        <w:rPr>
          <w:rFonts w:ascii="仿宋_GB2312" w:hAnsi="仿宋" w:eastAsia="仿宋_GB2312" w:cs="Times New Roman"/>
          <w:color w:val="000000"/>
          <w:sz w:val="32"/>
          <w:szCs w:val="32"/>
        </w:rPr>
      </w:pPr>
    </w:p>
    <w:p>
      <w:pPr>
        <w:pStyle w:val="2"/>
        <w:widowControl/>
        <w:spacing w:line="560" w:lineRule="exact"/>
        <w:ind w:firstLine="640" w:firstLineChars="200"/>
        <w:jc w:val="both"/>
        <w:rPr>
          <w:rFonts w:ascii="仿宋_GB2312" w:hAnsi="仿宋" w:eastAsia="仿宋_GB2312" w:cs="Times New Roman"/>
          <w:color w:val="000000"/>
          <w:sz w:val="32"/>
          <w:szCs w:val="32"/>
        </w:rPr>
      </w:pPr>
      <w:r>
        <w:rPr>
          <w:rFonts w:hint="eastAsia" w:ascii="仿宋_GB2312" w:hAnsi="仿宋" w:eastAsia="仿宋_GB2312" w:cs="仿宋_GB2312"/>
          <w:color w:val="000000"/>
          <w:sz w:val="32"/>
          <w:szCs w:val="32"/>
        </w:rPr>
        <w:t>根据</w:t>
      </w:r>
      <w:r>
        <w:rPr>
          <w:rFonts w:hint="eastAsia" w:ascii="仿宋_GB2312" w:hAnsi="仿宋" w:eastAsia="仿宋_GB2312" w:cs="仿宋_GB2312"/>
          <w:sz w:val="32"/>
          <w:szCs w:val="32"/>
        </w:rPr>
        <w:t>《河南省人民政府办公厅关于加快推进紧密型县域医疗卫生共同体建设的指导意见》</w:t>
      </w:r>
      <w:r>
        <w:rPr>
          <w:rFonts w:ascii="仿宋_GB2312" w:hAnsi="仿宋" w:eastAsia="仿宋_GB2312" w:cs="仿宋_GB2312"/>
          <w:sz w:val="32"/>
          <w:szCs w:val="32"/>
        </w:rPr>
        <w:t>(</w:t>
      </w:r>
      <w:r>
        <w:rPr>
          <w:rFonts w:hint="eastAsia" w:ascii="仿宋_GB2312" w:hAnsi="仿宋" w:eastAsia="仿宋_GB2312" w:cs="仿宋_GB2312"/>
          <w:sz w:val="32"/>
          <w:szCs w:val="32"/>
        </w:rPr>
        <w:t>豫政办〔</w:t>
      </w:r>
      <w:r>
        <w:rPr>
          <w:rFonts w:ascii="仿宋_GB2312" w:hAnsi="仿宋" w:eastAsia="仿宋_GB2312" w:cs="仿宋_GB2312"/>
          <w:sz w:val="32"/>
          <w:szCs w:val="32"/>
        </w:rPr>
        <w:t>2020</w:t>
      </w:r>
      <w:r>
        <w:rPr>
          <w:rFonts w:hint="eastAsia" w:ascii="仿宋_GB2312" w:hAnsi="仿宋" w:eastAsia="仿宋_GB2312" w:cs="仿宋_GB2312"/>
          <w:sz w:val="32"/>
          <w:szCs w:val="32"/>
        </w:rPr>
        <w:t>〕</w:t>
      </w:r>
      <w:r>
        <w:rPr>
          <w:rFonts w:ascii="仿宋_GB2312" w:hAnsi="仿宋" w:eastAsia="仿宋_GB2312" w:cs="仿宋_GB2312"/>
          <w:sz w:val="32"/>
          <w:szCs w:val="32"/>
        </w:rPr>
        <w:t>9</w:t>
      </w:r>
      <w:r>
        <w:rPr>
          <w:rFonts w:hint="eastAsia" w:ascii="仿宋_GB2312" w:hAnsi="仿宋" w:eastAsia="仿宋_GB2312" w:cs="仿宋_GB2312"/>
          <w:sz w:val="32"/>
          <w:szCs w:val="32"/>
        </w:rPr>
        <w:t>号</w:t>
      </w:r>
      <w:r>
        <w:rPr>
          <w:rFonts w:ascii="仿宋_GB2312" w:hAnsi="仿宋" w:eastAsia="仿宋_GB2312" w:cs="仿宋_GB2312"/>
          <w:sz w:val="32"/>
          <w:szCs w:val="32"/>
        </w:rPr>
        <w:t>)</w:t>
      </w:r>
      <w:r>
        <w:rPr>
          <w:rFonts w:hint="eastAsia" w:ascii="仿宋_GB2312" w:hAnsi="仿宋" w:eastAsia="仿宋_GB2312" w:cs="仿宋_GB2312"/>
          <w:sz w:val="32"/>
          <w:szCs w:val="32"/>
        </w:rPr>
        <w:t>、《驻马店市人民政府办公室关于加快推进紧密型县域医疗卫生共同体建设的实施意见》</w:t>
      </w:r>
      <w:r>
        <w:rPr>
          <w:rFonts w:ascii="仿宋_GB2312" w:hAnsi="仿宋" w:eastAsia="仿宋_GB2312" w:cs="仿宋_GB2312"/>
          <w:sz w:val="32"/>
          <w:szCs w:val="32"/>
        </w:rPr>
        <w:t>(</w:t>
      </w:r>
      <w:r>
        <w:rPr>
          <w:rFonts w:hint="eastAsia" w:ascii="仿宋_GB2312" w:hAnsi="仿宋" w:eastAsia="仿宋_GB2312" w:cs="仿宋_GB2312"/>
          <w:sz w:val="32"/>
          <w:szCs w:val="32"/>
        </w:rPr>
        <w:t>驻政办〔</w:t>
      </w:r>
      <w:r>
        <w:rPr>
          <w:rFonts w:ascii="仿宋_GB2312" w:hAnsi="仿宋" w:eastAsia="仿宋_GB2312" w:cs="仿宋_GB2312"/>
          <w:sz w:val="32"/>
          <w:szCs w:val="32"/>
        </w:rPr>
        <w:t>2020</w:t>
      </w:r>
      <w:r>
        <w:rPr>
          <w:rFonts w:hint="eastAsia" w:ascii="仿宋_GB2312" w:hAnsi="仿宋" w:eastAsia="仿宋_GB2312" w:cs="仿宋_GB2312"/>
          <w:sz w:val="32"/>
          <w:szCs w:val="32"/>
        </w:rPr>
        <w:t>〕</w:t>
      </w:r>
      <w:r>
        <w:rPr>
          <w:rFonts w:ascii="仿宋_GB2312" w:hAnsi="仿宋" w:eastAsia="仿宋_GB2312" w:cs="仿宋_GB2312"/>
          <w:sz w:val="32"/>
          <w:szCs w:val="32"/>
        </w:rPr>
        <w:t>26</w:t>
      </w:r>
      <w:r>
        <w:rPr>
          <w:rFonts w:hint="eastAsia" w:ascii="仿宋_GB2312" w:hAnsi="仿宋" w:eastAsia="仿宋_GB2312" w:cs="仿宋_GB2312"/>
          <w:sz w:val="32"/>
          <w:szCs w:val="32"/>
        </w:rPr>
        <w:t>号</w:t>
      </w:r>
      <w:r>
        <w:rPr>
          <w:rFonts w:ascii="仿宋_GB2312" w:hAnsi="仿宋" w:eastAsia="仿宋_GB2312" w:cs="仿宋_GB2312"/>
          <w:sz w:val="32"/>
          <w:szCs w:val="32"/>
        </w:rPr>
        <w:t>)</w:t>
      </w:r>
      <w:r>
        <w:rPr>
          <w:rFonts w:hint="eastAsia" w:ascii="仿宋_GB2312" w:hAnsi="仿宋" w:eastAsia="仿宋_GB2312" w:cs="仿宋_GB2312"/>
          <w:sz w:val="32"/>
          <w:szCs w:val="32"/>
        </w:rPr>
        <w:t>文件精神，为深入开展分级诊疗制度建设，充分发挥医疗卫生资源的整体效益，全面推进我县紧密型县域医疗卫生共同体（以下简称医共体）建设工作，构建优质高效的</w:t>
      </w:r>
      <w:r>
        <w:rPr>
          <w:rFonts w:hint="eastAsia" w:ascii="仿宋_GB2312" w:hAnsi="仿宋" w:eastAsia="仿宋_GB2312" w:cs="仿宋_GB2312"/>
          <w:color w:val="000000"/>
          <w:sz w:val="32"/>
          <w:szCs w:val="32"/>
        </w:rPr>
        <w:t>医疗服务体系，结合我县实际，制定本方案。</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《实施方案》共分为五个部分：</w:t>
      </w:r>
    </w:p>
    <w:p>
      <w:pPr>
        <w:spacing w:line="560" w:lineRule="exact"/>
        <w:ind w:firstLine="643" w:firstLineChars="200"/>
        <w:rPr>
          <w:rFonts w:ascii="仿宋_GB2312" w:hAnsi="仿宋" w:eastAsia="仿宋_GB2312" w:cs="Times New Roman"/>
          <w:sz w:val="32"/>
          <w:szCs w:val="32"/>
        </w:rPr>
      </w:pPr>
      <w:r>
        <w:rPr>
          <w:rFonts w:hint="eastAsia" w:ascii="仿宋_GB2312" w:hAnsi="仿宋" w:eastAsia="仿宋_GB2312" w:cs="仿宋_GB2312"/>
          <w:b/>
          <w:bCs/>
          <w:sz w:val="32"/>
          <w:szCs w:val="32"/>
        </w:rPr>
        <w:t>一、总体要求：</w:t>
      </w:r>
      <w:r>
        <w:rPr>
          <w:rFonts w:hint="eastAsia" w:ascii="仿宋_GB2312" w:hAnsi="仿宋" w:eastAsia="仿宋_GB2312" w:cs="仿宋_GB2312"/>
          <w:sz w:val="32"/>
          <w:szCs w:val="32"/>
        </w:rPr>
        <w:t>提出建设医共体的必要性和重要性。</w:t>
      </w:r>
    </w:p>
    <w:p>
      <w:pPr>
        <w:spacing w:line="560" w:lineRule="exact"/>
        <w:ind w:firstLine="643" w:firstLineChars="200"/>
        <w:rPr>
          <w:rFonts w:ascii="仿宋_GB2312" w:hAnsi="仿宋" w:eastAsia="仿宋_GB2312" w:cs="Times New Roman"/>
          <w:sz w:val="32"/>
          <w:szCs w:val="32"/>
        </w:rPr>
      </w:pPr>
      <w:r>
        <w:rPr>
          <w:rFonts w:hint="eastAsia" w:ascii="仿宋_GB2312" w:hAnsi="仿宋" w:eastAsia="仿宋_GB2312" w:cs="仿宋_GB2312"/>
          <w:b/>
          <w:bCs/>
          <w:sz w:val="32"/>
          <w:szCs w:val="32"/>
        </w:rPr>
        <w:t>二、基本原则：</w:t>
      </w:r>
      <w:r>
        <w:rPr>
          <w:rFonts w:hint="eastAsia" w:ascii="仿宋_GB2312" w:hAnsi="仿宋" w:eastAsia="仿宋_GB2312" w:cs="仿宋_GB2312"/>
          <w:sz w:val="32"/>
          <w:szCs w:val="32"/>
        </w:rPr>
        <w:t>从四个方面提出建设医共体所要遵循的原则：一是政府主导，管办分开；二是资源下沉，提升能力；三是预防为主，防治结合；四是创新机制，惠及群众。</w:t>
      </w:r>
    </w:p>
    <w:p>
      <w:pPr>
        <w:spacing w:line="560" w:lineRule="exact"/>
        <w:ind w:firstLine="643" w:firstLineChars="200"/>
        <w:rPr>
          <w:rFonts w:ascii="仿宋_GB2312" w:hAnsi="仿宋" w:eastAsia="仿宋_GB2312" w:cs="Times New Roman"/>
          <w:sz w:val="32"/>
          <w:szCs w:val="32"/>
        </w:rPr>
      </w:pPr>
      <w:r>
        <w:rPr>
          <w:rFonts w:hint="eastAsia" w:ascii="仿宋_GB2312" w:hAnsi="仿宋" w:eastAsia="仿宋_GB2312" w:cs="仿宋_GB2312"/>
          <w:b/>
          <w:bCs/>
          <w:sz w:val="32"/>
          <w:szCs w:val="32"/>
        </w:rPr>
        <w:t>三、工作目标：</w:t>
      </w:r>
      <w:r>
        <w:rPr>
          <w:rFonts w:hint="eastAsia" w:ascii="仿宋_GB2312" w:hAnsi="仿宋" w:eastAsia="仿宋_GB2312" w:cs="仿宋_GB2312"/>
          <w:sz w:val="32"/>
          <w:szCs w:val="32"/>
        </w:rPr>
        <w:t>明确提出</w:t>
      </w:r>
      <w:r>
        <w:rPr>
          <w:rFonts w:ascii="仿宋_GB2312" w:hAnsi="仿宋" w:eastAsia="仿宋_GB2312" w:cs="仿宋_GB2312"/>
          <w:color w:val="000000"/>
          <w:sz w:val="32"/>
          <w:szCs w:val="32"/>
        </w:rPr>
        <w:t>2020</w:t>
      </w:r>
      <w:r>
        <w:rPr>
          <w:rFonts w:hint="eastAsia" w:ascii="仿宋_GB2312" w:hAnsi="仿宋" w:eastAsia="仿宋_GB2312" w:cs="仿宋_GB2312"/>
          <w:color w:val="000000"/>
          <w:sz w:val="32"/>
          <w:szCs w:val="32"/>
        </w:rPr>
        <w:t>年</w:t>
      </w:r>
      <w:r>
        <w:rPr>
          <w:rFonts w:ascii="仿宋_GB2312" w:hAnsi="仿宋" w:eastAsia="仿宋_GB2312" w:cs="仿宋_GB2312"/>
          <w:color w:val="000000"/>
          <w:sz w:val="32"/>
          <w:szCs w:val="32"/>
        </w:rPr>
        <w:t>9</w:t>
      </w:r>
      <w:r>
        <w:rPr>
          <w:rFonts w:hint="eastAsia" w:ascii="仿宋_GB2312" w:hAnsi="仿宋" w:eastAsia="仿宋_GB2312" w:cs="仿宋_GB2312"/>
          <w:color w:val="000000"/>
          <w:sz w:val="32"/>
          <w:szCs w:val="32"/>
        </w:rPr>
        <w:t>月</w:t>
      </w:r>
      <w:r>
        <w:rPr>
          <w:rFonts w:ascii="仿宋_GB2312" w:hAnsi="仿宋" w:eastAsia="仿宋_GB2312" w:cs="仿宋_GB2312"/>
          <w:color w:val="000000"/>
          <w:sz w:val="32"/>
          <w:szCs w:val="32"/>
        </w:rPr>
        <w:t>1</w:t>
      </w:r>
      <w:r>
        <w:rPr>
          <w:rFonts w:hint="eastAsia" w:ascii="仿宋_GB2312" w:hAnsi="仿宋" w:eastAsia="仿宋_GB2312" w:cs="仿宋_GB2312"/>
          <w:color w:val="000000"/>
          <w:sz w:val="32"/>
          <w:szCs w:val="32"/>
        </w:rPr>
        <w:t>日前组建</w:t>
      </w:r>
      <w:r>
        <w:rPr>
          <w:rFonts w:hint="eastAsia" w:ascii="仿宋_GB2312" w:hAnsi="仿宋" w:eastAsia="仿宋_GB2312" w:cs="仿宋_GB2312"/>
          <w:sz w:val="32"/>
          <w:szCs w:val="32"/>
        </w:rPr>
        <w:t>由遂平</w:t>
      </w:r>
      <w:r>
        <w:rPr>
          <w:rFonts w:hint="eastAsia" w:ascii="仿宋_GB2312" w:hAnsi="仿宋" w:eastAsia="仿宋_GB2312" w:cs="仿宋_GB2312"/>
          <w:color w:val="000000"/>
          <w:sz w:val="32"/>
          <w:szCs w:val="32"/>
        </w:rPr>
        <w:t>县人民医院、</w:t>
      </w:r>
      <w:r>
        <w:rPr>
          <w:rFonts w:hint="eastAsia" w:ascii="仿宋_GB2312" w:hAnsi="仿宋" w:eastAsia="仿宋_GB2312" w:cs="仿宋_GB2312"/>
          <w:sz w:val="32"/>
          <w:szCs w:val="32"/>
        </w:rPr>
        <w:t>遂平</w:t>
      </w:r>
      <w:r>
        <w:rPr>
          <w:rFonts w:hint="eastAsia" w:ascii="仿宋_GB2312" w:hAnsi="仿宋" w:eastAsia="仿宋_GB2312" w:cs="仿宋_GB2312"/>
          <w:color w:val="000000"/>
          <w:sz w:val="32"/>
          <w:szCs w:val="32"/>
        </w:rPr>
        <w:t>县中医院</w:t>
      </w:r>
      <w:r>
        <w:rPr>
          <w:rFonts w:hint="eastAsia" w:ascii="仿宋_GB2312" w:hAnsi="仿宋" w:eastAsia="仿宋_GB2312" w:cs="仿宋_GB2312"/>
          <w:sz w:val="32"/>
          <w:szCs w:val="32"/>
        </w:rPr>
        <w:t>牵头的两个</w:t>
      </w:r>
      <w:r>
        <w:rPr>
          <w:rFonts w:hint="eastAsia" w:ascii="仿宋_GB2312" w:hAnsi="仿宋" w:eastAsia="仿宋_GB2312" w:cs="仿宋_GB2312"/>
          <w:color w:val="000000"/>
          <w:sz w:val="32"/>
          <w:szCs w:val="32"/>
        </w:rPr>
        <w:t>医共体，通过医共体建设，县域医疗卫生服务能力得到明显提升，医保基金得到有效利用，居民医药费用负担得到合理控制，有序就医格局基本形成，力争县域就诊率达到</w:t>
      </w:r>
      <w:r>
        <w:rPr>
          <w:rFonts w:ascii="仿宋_GB2312" w:hAnsi="仿宋" w:eastAsia="仿宋_GB2312" w:cs="仿宋_GB2312"/>
          <w:color w:val="000000"/>
          <w:sz w:val="32"/>
          <w:szCs w:val="32"/>
        </w:rPr>
        <w:t>90%</w:t>
      </w:r>
      <w:r>
        <w:rPr>
          <w:rFonts w:hint="eastAsia" w:ascii="仿宋_GB2312" w:hAnsi="仿宋" w:eastAsia="仿宋_GB2312" w:cs="仿宋_GB2312"/>
          <w:color w:val="000000"/>
          <w:sz w:val="32"/>
          <w:szCs w:val="32"/>
        </w:rPr>
        <w:t>、县域内基层就诊率达到</w:t>
      </w:r>
      <w:r>
        <w:rPr>
          <w:rFonts w:ascii="仿宋_GB2312" w:hAnsi="仿宋" w:eastAsia="仿宋_GB2312" w:cs="仿宋_GB2312"/>
          <w:color w:val="000000"/>
          <w:sz w:val="32"/>
          <w:szCs w:val="32"/>
        </w:rPr>
        <w:t>65%</w:t>
      </w:r>
      <w:r>
        <w:rPr>
          <w:rFonts w:hint="eastAsia" w:ascii="仿宋_GB2312" w:hAnsi="仿宋" w:eastAsia="仿宋_GB2312" w:cs="仿宋_GB2312"/>
          <w:color w:val="000000"/>
          <w:sz w:val="32"/>
          <w:szCs w:val="32"/>
        </w:rPr>
        <w:t>左右。</w:t>
      </w:r>
    </w:p>
    <w:p>
      <w:pPr>
        <w:pStyle w:val="2"/>
        <w:widowControl/>
        <w:spacing w:line="560" w:lineRule="exact"/>
        <w:ind w:firstLine="643" w:firstLineChars="200"/>
        <w:jc w:val="both"/>
        <w:rPr>
          <w:rFonts w:ascii="仿宋_GB2312" w:hAnsi="仿宋" w:eastAsia="仿宋_GB2312" w:cs="Times New Roman"/>
          <w:sz w:val="32"/>
          <w:szCs w:val="32"/>
        </w:rPr>
      </w:pPr>
      <w:r>
        <w:rPr>
          <w:rFonts w:hint="eastAsia" w:ascii="仿宋_GB2312" w:hAnsi="仿宋" w:eastAsia="仿宋_GB2312" w:cs="仿宋_GB2312"/>
          <w:b/>
          <w:bCs/>
          <w:sz w:val="32"/>
          <w:szCs w:val="32"/>
        </w:rPr>
        <w:t>四、重点任务：</w:t>
      </w:r>
      <w:r>
        <w:rPr>
          <w:rFonts w:hint="eastAsia" w:ascii="仿宋_GB2312" w:hAnsi="仿宋" w:eastAsia="仿宋_GB2312" w:cs="仿宋_GB2312"/>
          <w:sz w:val="32"/>
          <w:szCs w:val="32"/>
        </w:rPr>
        <w:t>从优化就医秩序、创新体制机制、提升服务能力、建立健全保障机制四个方面明确了各项具体任务。重点解决好以下几个方面问题。</w:t>
      </w:r>
      <w:r>
        <w:rPr>
          <w:rFonts w:hint="eastAsia" w:ascii="仿宋_GB2312" w:hAnsi="仿宋" w:eastAsia="仿宋_GB2312" w:cs="仿宋_GB2312"/>
          <w:b/>
          <w:bCs/>
          <w:sz w:val="32"/>
          <w:szCs w:val="32"/>
        </w:rPr>
        <w:t>一是</w:t>
      </w:r>
      <w:r>
        <w:rPr>
          <w:rFonts w:hint="eastAsia" w:ascii="仿宋_GB2312" w:hAnsi="仿宋" w:eastAsia="仿宋_GB2312" w:cs="仿宋_GB2312"/>
          <w:sz w:val="32"/>
          <w:szCs w:val="32"/>
        </w:rPr>
        <w:t>优化就医秩序。组建医共体，结合我县实际，组建由遂平</w:t>
      </w:r>
      <w:r>
        <w:rPr>
          <w:rFonts w:hint="eastAsia" w:ascii="仿宋_GB2312" w:hAnsi="仿宋" w:eastAsia="仿宋_GB2312" w:cs="仿宋_GB2312"/>
          <w:color w:val="000000"/>
          <w:sz w:val="32"/>
          <w:szCs w:val="32"/>
        </w:rPr>
        <w:t>县人民医院、</w:t>
      </w:r>
      <w:r>
        <w:rPr>
          <w:rFonts w:hint="eastAsia" w:ascii="仿宋_GB2312" w:hAnsi="仿宋" w:eastAsia="仿宋_GB2312" w:cs="仿宋_GB2312"/>
          <w:sz w:val="32"/>
          <w:szCs w:val="32"/>
        </w:rPr>
        <w:t>遂平</w:t>
      </w:r>
      <w:r>
        <w:rPr>
          <w:rFonts w:hint="eastAsia" w:ascii="仿宋_GB2312" w:hAnsi="仿宋" w:eastAsia="仿宋_GB2312" w:cs="仿宋_GB2312"/>
          <w:color w:val="000000"/>
          <w:sz w:val="32"/>
          <w:szCs w:val="32"/>
        </w:rPr>
        <w:t>县中医院</w:t>
      </w:r>
      <w:r>
        <w:rPr>
          <w:rFonts w:hint="eastAsia" w:ascii="仿宋_GB2312" w:hAnsi="仿宋" w:eastAsia="仿宋_GB2312" w:cs="仿宋_GB2312"/>
          <w:sz w:val="32"/>
          <w:szCs w:val="32"/>
        </w:rPr>
        <w:t>牵头，其他县级医疗机构、乡镇卫生院、社区卫生服务中心及民营医院为成员单位的两个紧密型县域医共体。</w:t>
      </w:r>
      <w:r>
        <w:rPr>
          <w:rFonts w:hint="eastAsia" w:ascii="仿宋_GB2312" w:hAnsi="仿宋" w:eastAsia="仿宋_GB2312" w:cs="仿宋_GB2312"/>
          <w:b/>
          <w:bCs/>
          <w:sz w:val="32"/>
          <w:szCs w:val="32"/>
        </w:rPr>
        <w:t>二是</w:t>
      </w:r>
      <w:r>
        <w:rPr>
          <w:rFonts w:hint="eastAsia" w:ascii="仿宋_GB2312" w:hAnsi="仿宋" w:eastAsia="仿宋_GB2312" w:cs="仿宋_GB2312"/>
          <w:sz w:val="32"/>
          <w:szCs w:val="32"/>
        </w:rPr>
        <w:t>创新体制机制。建立由县委、政府牵头，机构编制、发改、财政、人社、卫健体、医保等部门及医共体成员单位代表参加的医院管理委员会，协调机制办公室设在县卫健体委。成立医共体党委，推行行政、人员、业务、药械、财务、绩效、信息等统一管理。以及改革人事薪酬制度、激发乡镇卫生院活力、巩固村卫生室阵地。</w:t>
      </w:r>
      <w:r>
        <w:rPr>
          <w:rFonts w:hint="eastAsia" w:ascii="仿宋_GB2312" w:hAnsi="仿宋" w:eastAsia="仿宋_GB2312" w:cs="仿宋_GB2312"/>
          <w:b/>
          <w:bCs/>
          <w:sz w:val="32"/>
          <w:szCs w:val="32"/>
        </w:rPr>
        <w:t>三是</w:t>
      </w:r>
      <w:r>
        <w:rPr>
          <w:rFonts w:hint="eastAsia" w:ascii="仿宋_GB2312" w:hAnsi="仿宋" w:eastAsia="仿宋_GB2312" w:cs="仿宋_GB2312"/>
          <w:sz w:val="32"/>
          <w:szCs w:val="32"/>
        </w:rPr>
        <w:t>提升服务效能。从加强县级医院能力建设、提升基层医疗服务能力、加强医疗质量管理、强化公共卫生服务水平等六个方面提出明确要求。</w:t>
      </w:r>
      <w:r>
        <w:rPr>
          <w:rFonts w:hint="eastAsia" w:ascii="仿宋_GB2312" w:hAnsi="仿宋" w:eastAsia="仿宋_GB2312" w:cs="仿宋_GB2312"/>
          <w:b/>
          <w:bCs/>
          <w:sz w:val="32"/>
          <w:szCs w:val="32"/>
        </w:rPr>
        <w:t>四是</w:t>
      </w:r>
      <w:r>
        <w:rPr>
          <w:rFonts w:hint="eastAsia" w:ascii="仿宋_GB2312" w:hAnsi="仿宋" w:eastAsia="仿宋_GB2312" w:cs="仿宋_GB2312"/>
          <w:sz w:val="32"/>
          <w:szCs w:val="32"/>
        </w:rPr>
        <w:t>建立健全保障机制。从财政保障、医保支付、医疗服务价格、综合监管等几个方面，完善支持政策，凝聚改革合力。</w:t>
      </w:r>
    </w:p>
    <w:p>
      <w:pPr>
        <w:pStyle w:val="2"/>
        <w:widowControl/>
        <w:spacing w:line="560" w:lineRule="exact"/>
        <w:ind w:firstLine="643" w:firstLineChars="200"/>
        <w:jc w:val="both"/>
        <w:rPr>
          <w:rFonts w:ascii="仿宋_GB2312" w:hAnsi="仿宋" w:eastAsia="仿宋_GB2312" w:cs="Times New Roman"/>
          <w:color w:val="000000"/>
          <w:sz w:val="32"/>
          <w:szCs w:val="32"/>
        </w:rPr>
      </w:pPr>
      <w:r>
        <w:rPr>
          <w:rFonts w:hint="eastAsia" w:ascii="仿宋_GB2312" w:hAnsi="仿宋" w:eastAsia="仿宋_GB2312" w:cs="仿宋_GB2312"/>
          <w:b/>
          <w:bCs/>
          <w:sz w:val="32"/>
          <w:szCs w:val="32"/>
        </w:rPr>
        <w:t>五、工作要求：</w:t>
      </w:r>
      <w:r>
        <w:rPr>
          <w:rFonts w:hint="eastAsia" w:ascii="仿宋_GB2312" w:hAnsi="仿宋" w:eastAsia="仿宋_GB2312" w:cs="仿宋_GB2312"/>
          <w:sz w:val="32"/>
          <w:szCs w:val="32"/>
        </w:rPr>
        <w:t>包括加强组织领导、</w:t>
      </w:r>
      <w:r>
        <w:rPr>
          <w:rFonts w:hint="eastAsia" w:ascii="仿宋_GB2312" w:hAnsi="仿宋" w:eastAsia="仿宋_GB2312" w:cs="仿宋_GB2312"/>
          <w:color w:val="000000"/>
          <w:sz w:val="32"/>
          <w:szCs w:val="32"/>
        </w:rPr>
        <w:t>明确工作职责</w:t>
      </w:r>
      <w:r>
        <w:rPr>
          <w:rFonts w:hint="eastAsia" w:ascii="仿宋_GB2312" w:hAnsi="仿宋" w:eastAsia="仿宋_GB2312" w:cs="仿宋_GB2312"/>
          <w:sz w:val="32"/>
          <w:szCs w:val="32"/>
        </w:rPr>
        <w:t>、建立完善监测评估制度、强化宣传培训等，要求统筹推进医共体建设，</w:t>
      </w:r>
      <w:r>
        <w:rPr>
          <w:rFonts w:hint="eastAsia" w:ascii="仿宋_GB2312" w:hAnsi="仿宋" w:eastAsia="仿宋_GB2312" w:cs="仿宋_GB2312"/>
          <w:color w:val="000000"/>
          <w:sz w:val="32"/>
          <w:szCs w:val="32"/>
        </w:rPr>
        <w:t>及时解决医共体实施中遇到的实际困难，</w:t>
      </w:r>
      <w:r>
        <w:rPr>
          <w:rFonts w:hint="eastAsia" w:ascii="仿宋_GB2312" w:hAnsi="仿宋" w:eastAsia="仿宋_GB2312" w:cs="仿宋_GB2312"/>
          <w:sz w:val="32"/>
          <w:szCs w:val="32"/>
        </w:rPr>
        <w:t>统一思想认识，</w:t>
      </w:r>
      <w:r>
        <w:rPr>
          <w:rFonts w:hint="eastAsia" w:ascii="仿宋_GB2312" w:hAnsi="仿宋" w:eastAsia="仿宋_GB2312" w:cs="仿宋_GB2312"/>
          <w:color w:val="000000"/>
          <w:sz w:val="32"/>
          <w:szCs w:val="32"/>
        </w:rPr>
        <w:t>积极推进医共体建设。</w:t>
      </w:r>
      <w:r>
        <w:rPr>
          <w:rFonts w:ascii="仿宋_GB2312" w:hAnsi="仿宋" w:eastAsia="仿宋_GB2312" w:cs="仿宋_GB2312"/>
          <w:color w:val="000000"/>
          <w:sz w:val="32"/>
          <w:szCs w:val="32"/>
        </w:rPr>
        <w:t xml:space="preserve">    </w:t>
      </w:r>
    </w:p>
    <w:p>
      <w:pPr>
        <w:spacing w:line="560" w:lineRule="exact"/>
        <w:ind w:firstLine="640" w:firstLineChars="200"/>
        <w:rPr>
          <w:rFonts w:ascii="仿宋_GB2312" w:hAnsi="仿宋" w:eastAsia="仿宋_GB2312" w:cs="Times New Roman"/>
          <w:sz w:val="32"/>
          <w:szCs w:val="32"/>
        </w:rPr>
      </w:pPr>
    </w:p>
    <w:p>
      <w:pPr>
        <w:spacing w:line="560" w:lineRule="exact"/>
        <w:rPr>
          <w:rFonts w:ascii="仿宋_GB2312" w:hAnsi="仿宋" w:eastAsia="仿宋_GB2312" w:cs="Times New Roman"/>
          <w:sz w:val="32"/>
          <w:szCs w:val="32"/>
        </w:rPr>
      </w:pPr>
    </w:p>
    <w:p>
      <w:pPr>
        <w:spacing w:line="560" w:lineRule="exact"/>
        <w:ind w:firstLine="643" w:firstLineChars="200"/>
        <w:rPr>
          <w:rFonts w:ascii="仿宋_GB2312" w:hAnsi="仿宋" w:eastAsia="仿宋_GB2312" w:cs="Times New Roman"/>
          <w:b/>
          <w:bCs/>
          <w:sz w:val="32"/>
          <w:szCs w:val="32"/>
        </w:rPr>
      </w:pPr>
    </w:p>
    <w:p>
      <w:pPr>
        <w:spacing w:line="560" w:lineRule="exact"/>
        <w:rPr>
          <w:rFonts w:ascii="仿宋_GB2312" w:eastAsia="仿宋_GB2312"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BED"/>
    <w:rsid w:val="003D1380"/>
    <w:rsid w:val="006C02F5"/>
    <w:rsid w:val="007041B7"/>
    <w:rsid w:val="008D2CB3"/>
    <w:rsid w:val="008F6E97"/>
    <w:rsid w:val="00944C04"/>
    <w:rsid w:val="00960206"/>
    <w:rsid w:val="00A5781C"/>
    <w:rsid w:val="00BE1EA7"/>
    <w:rsid w:val="00C61B1A"/>
    <w:rsid w:val="00E61190"/>
    <w:rsid w:val="00E65BED"/>
    <w:rsid w:val="510F3C2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iPriority w:val="99"/>
    <w:pPr>
      <w:jc w:val="left"/>
    </w:pPr>
    <w:rPr>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Pages>
  <Words>148</Words>
  <Characters>844</Characters>
  <Lines>0</Lines>
  <Paragraphs>0</Paragraphs>
  <TotalTime>7</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2020-09-09T05:32:00Z</dcterms:created>
  <dc:creator>w</dc:creator>
  <cp:lastModifiedBy>水水</cp:lastModifiedBy>
  <dcterms:modified xsi:type="dcterms:W3CDTF">2020-09-09T07:10:58Z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