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住房和城乡建设局行政职权事项目录</w:t>
      </w:r>
    </w:p>
    <w:p>
      <w:pPr>
        <w:spacing w:line="540" w:lineRule="exact"/>
        <w:ind w:firstLine="643" w:firstLineChars="200"/>
        <w:jc w:val="both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（一）行政许可（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1.建筑工程施工许可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(核准、变更、延期、补办)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2.商品房预售许可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（核发及变更）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3.建筑起重机械使用登记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建设工程消防设计审查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.建设工程消防验收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6.城镇污水排入排水管网许可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7.因工程建设需要拆除、改动、迁移供水、排水与污水处理设施审核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8.历史文化街区、名镇、名村核心保护范围内拆除历史建筑以外的建筑物、构筑物或者其他设施审批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9.历史建筑实施原址保护审批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10.历史建筑外部修缮装饰、添加设施以及改变历史建筑的结构或者使用性质审批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11.停止供水（气）、改（迁、拆）公共供水的审批</w:t>
      </w:r>
    </w:p>
    <w:p>
      <w:pPr>
        <w:spacing w:line="540" w:lineRule="exact"/>
        <w:ind w:firstLine="643" w:firstLineChars="200"/>
        <w:jc w:val="both"/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(二)行政强制（5项）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1.对未依法取得批准或者验收合格的单位擅自从事有关活动的取缔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2.对有根据认为不符合保障安全生产的国家标准或者行业标准的设施、设备、器材强制措施：以查封或者扣押。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3.对全部或者部分使用国有资金的项目，并可以暂停项目执行或者暂停资金拨付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4.禁止生产黏土砖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5.禁止在墙体中使用实心黏土砖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）行政征收（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国有土地上房屋征收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2.城市污水处理费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）行政检查（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对房地产中介服务机构专业人员的检查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2.建设工程安全生产监督检查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3.对安全生产许可条件的监督检查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4.建设工程质量监督检查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5.建设市场行为监督检查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6.对建设工程检测机构的监督检查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7.城市道路施工工程质量监督检查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8.对有形建筑市场的监督检查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9.建筑工程发承包计价活动监督检查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10.工程建设项目执行强制性标准情况监督检查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11.对勘察设计合同履行情况进行监督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12.城市地下工程开发利用情况监督检查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13.对市政公用设施抗灾设防质量的监督管理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14.对施工质量进行监督检查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15.对建筑起重机械生产安全的检查管理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16.对建筑企业资质管理的监督检查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17.对监理企业资质管理的监督检查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18.对城市供水水质的监督检查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19.排水管理部门对排水户排放污水的情况实施的监督检查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20.对注册造价工程师的注册、执业和继续教育实施的监督检查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21.对工程造价咨询企业从事工程造价咨询业务的活动实施的监督检查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22.对本行政区域内房屋建筑工程执行抗震设防的法律、法规和工程建设强制性标准情况进行的监督检查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23.对工程项目抗震设计质量审查监督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24.对建筑物的围护结构（含墙体、屋面、门窗、玻璃幕墙等）、供热采暖和制冷系统、照明和通风等电器设备是否符合节能要求的监督检查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）行政确认（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1.建设工程竣工验收消防备案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2.公租房租赁补贴资格确认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3.公租房承租资格确认 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）其他职权（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项）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1.房地产经纪机构备案证书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2.河南省新型墙体材料认定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3.房屋建筑工程和市政基础设施工程竣工验收备案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4.物业管理区域备案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5.物业服务合同备案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6.物业承接查验备案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7.政府代管的房屋专项维修资金使用核准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8.房屋交易资金监管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9.房屋交易合同网签备案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10.建设工程招标文件备案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11.建设工程招投标情况书面报告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12.对城市轨道交通工程验收进行监督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13.商品房（现房）销售备案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14.商品房预售变现售备案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15.商品房现房销售备案变更</w:t>
      </w:r>
    </w:p>
    <w:bookmarkEnd w:id="0"/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16.前期物业管理招标备案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17.前期物业管理中标备案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18.公租房租金收缴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19.业主自管的房屋专项维修资金使用备案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8"/>
    <w:rsid w:val="00333CD1"/>
    <w:rsid w:val="00974668"/>
    <w:rsid w:val="00CE0CD6"/>
    <w:rsid w:val="00FA57C8"/>
    <w:rsid w:val="0B0C587D"/>
    <w:rsid w:val="20B50165"/>
    <w:rsid w:val="23D32685"/>
    <w:rsid w:val="271F437F"/>
    <w:rsid w:val="2B626FAC"/>
    <w:rsid w:val="336D679C"/>
    <w:rsid w:val="3A0C4B4E"/>
    <w:rsid w:val="3A1770E0"/>
    <w:rsid w:val="3F2D50A5"/>
    <w:rsid w:val="45EA09E3"/>
    <w:rsid w:val="4B6B6E9E"/>
    <w:rsid w:val="563855B0"/>
    <w:rsid w:val="6D11003E"/>
    <w:rsid w:val="75334E94"/>
    <w:rsid w:val="78A52D30"/>
    <w:rsid w:val="7C374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134</Words>
  <Characters>770</Characters>
  <Lines>6</Lines>
  <Paragraphs>1</Paragraphs>
  <TotalTime>2</TotalTime>
  <ScaleCrop>false</ScaleCrop>
  <LinksUpToDate>false</LinksUpToDate>
  <CharactersWithSpaces>903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2019-12-04T02:17:00Z</dcterms:created>
  <dc:creator>Administrator</dc:creator>
  <cp:lastModifiedBy>ヾ骨感的生活</cp:lastModifiedBy>
  <dcterms:modified xsi:type="dcterms:W3CDTF">2020-10-30T03:17:54Z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