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《</w:t>
      </w:r>
      <w:r>
        <w:rPr>
          <w:rFonts w:hint="eastAsia"/>
          <w:b/>
          <w:bCs/>
          <w:sz w:val="44"/>
          <w:szCs w:val="44"/>
          <w:lang w:eastAsia="zh-CN"/>
        </w:rPr>
        <w:t>遂平县</w:t>
      </w:r>
      <w:r>
        <w:rPr>
          <w:b/>
          <w:bCs/>
          <w:sz w:val="44"/>
          <w:szCs w:val="44"/>
        </w:rPr>
        <w:t>人民政府办公室关于印发（</w:t>
      </w:r>
      <w:r>
        <w:rPr>
          <w:rFonts w:hint="eastAsia"/>
          <w:b/>
          <w:bCs/>
          <w:sz w:val="44"/>
          <w:szCs w:val="44"/>
          <w:lang w:eastAsia="zh-CN"/>
        </w:rPr>
        <w:t>遂平县</w:t>
      </w:r>
      <w:r>
        <w:rPr>
          <w:b/>
          <w:bCs/>
          <w:sz w:val="44"/>
          <w:szCs w:val="44"/>
        </w:rPr>
        <w:t>城市基础设施配套费征收使用管理办法）的通知》政策解读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一、《通知》印发的背景依据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城市基础设施配套费是指政府及其所属部门依照国家有关规定征收、专项用于城市道路桥梁等市政公用基础设施配套建设的政府性基金。为规范城市基础设施配套费的征收，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《驻马店市中心城区城市基础设施配套费征收使用管理办法》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</w:t>
      </w:r>
      <w:r>
        <w:rPr>
          <w:rFonts w:hint="eastAsia" w:ascii="仿宋" w:hAnsi="仿宋" w:eastAsia="仿宋" w:cs="仿宋"/>
          <w:sz w:val="32"/>
          <w:szCs w:val="32"/>
        </w:rPr>
        <w:t>政办〔2020〕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38号</w:t>
      </w:r>
      <w:r>
        <w:rPr>
          <w:rFonts w:hint="eastAsia" w:ascii="仿宋" w:hAnsi="仿宋" w:eastAsia="仿宋" w:cs="仿宋"/>
          <w:sz w:val="32"/>
          <w:szCs w:val="32"/>
        </w:rPr>
        <w:t>），确定了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各县</w:t>
      </w:r>
      <w:r>
        <w:rPr>
          <w:rFonts w:hint="eastAsia" w:ascii="仿宋" w:hAnsi="仿宋" w:eastAsia="仿宋" w:cs="仿宋"/>
          <w:sz w:val="32"/>
          <w:szCs w:val="32"/>
        </w:rPr>
        <w:t>城市基础设施配套费的标准：我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元/m2。为进一步规范配套费的征收管理、简化征收管理程序，起草了本办法。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《通知》印发的意义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进一步规范城市基础设施配套费征收管理办法，是落实国家改革开放政策的重要举措，对于增强政府对城市基础设施建设资金的宏观调控能力，支持我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城市基础设施建设发展，具有重要的意义。一是可以规范房地产开发企业的收费行为，改变过去多头收费、管理不规范问题，有效避免乱收费；二是可以有力支持城市基础设施建设发展，便于政府对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区公用事业进行统筹规划、均衡发展，提高城市建设水平；三是依据国家、省、市人民政府文件的相关规定对报建项目执行减免优惠政策，有利于招商引资项目的发展、外来资金的引入；四是可以支持公用事业企业的正常运营，加快公用事业项目建设进度，提高群众满意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三、《通知》的起草过程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此次办法的制定，是在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驻马店市人民政府关于印发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《驻马店市中心城区城市基础设施配套费征收使用管理办法》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</w:t>
      </w:r>
      <w:r>
        <w:rPr>
          <w:rFonts w:hint="eastAsia" w:ascii="仿宋" w:hAnsi="仿宋" w:eastAsia="仿宋" w:cs="仿宋"/>
          <w:sz w:val="32"/>
          <w:szCs w:val="32"/>
        </w:rPr>
        <w:t>政办〔2020〕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38号</w:t>
      </w:r>
      <w:r>
        <w:rPr>
          <w:rFonts w:hint="eastAsia" w:ascii="仿宋" w:hAnsi="仿宋" w:eastAsia="仿宋" w:cs="仿宋"/>
          <w:sz w:val="32"/>
          <w:szCs w:val="32"/>
        </w:rPr>
        <w:t>）基础上，执行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政府规定征收标准的框架下，结合征收管理工作中的新情况、新问题，对城市配套费征收使用工作予以规范。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财政局根据财政部和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相关文件精神，参照外地的做法，结合我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实际，组织起草《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遂平县</w:t>
      </w:r>
      <w:r>
        <w:rPr>
          <w:rFonts w:hint="eastAsia" w:ascii="仿宋" w:hAnsi="仿宋" w:eastAsia="仿宋" w:cs="仿宋"/>
          <w:sz w:val="32"/>
          <w:szCs w:val="32"/>
        </w:rPr>
        <w:t>城市基础设施配套费征收使用管理办法》（以下简称“办法”），经过多次讨论、修改，形成了“办法”征求意见稿。向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个相关部门和单位广泛征求了意见，根据反馈意见，进行了修改完善；报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司法局进行了合规性审核，根据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司法局审核意见和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工程建设项目审批制度改革领导小组办公室意见，对“办法”进行了进一步完善，形成了送审稿。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四、《通知》的主要内容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“办法”共分五个部分：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第一部分：制定“办法”的目的、性质、征收范围和管理的部门。包含第一章，第一至四条。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第二部分：征收标准、征收程序，减免范围和程序。包含第二章、第三章，第五条至第二十九条。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征收标准：城市配套费按建筑面积计征，每平米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元。其中，市政府统筹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元/㎡，供水、供气、供热每项各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元/㎡。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征收程序：缴费人凭《缴费通知书》缴纳城市配套费。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优惠范围：按法规和中央、国务院、财政部和省市政府有关规定应当免征、减征的建设项目。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审核批准：分两种类型：一类：符合法规规定的建设项目和市政府文件已经明确的建设项目，由缴费人提出申请，经项目实施单位或辖区政府审核签署意见，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自然资源局核定规划后，征收机构直接办理缴纳、减免票证；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政府文件规定予以城市配套费优惠的建设项目、集聚区内工业项目和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区重点大型仓储物流项目，由征收机构按照使用服务项目、标准和核准面积直接核算、办理征收票证。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二类：城区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特色商业区内的高端商务项目</w:t>
      </w:r>
      <w:r>
        <w:rPr>
          <w:rFonts w:hint="eastAsia" w:ascii="仿宋" w:hAnsi="仿宋" w:eastAsia="仿宋" w:cs="仿宋"/>
          <w:sz w:val="32"/>
          <w:szCs w:val="32"/>
        </w:rPr>
        <w:t>高端商务及其他公益性非房地产项目，因特殊情况申请减免城市配套费的, 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政府研究决定。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第三部分：城市配套费使用管理。包含第四章第三十条至三十六条。城市配套费使用纳入财政基金预算，专项用于城市基础设施建设管理工作。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第四部分：监督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。包含第五章第三十七条至四十一条。财政、审计、监察、自然资源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不动产登记中心</w:t>
      </w:r>
      <w:r>
        <w:rPr>
          <w:rFonts w:hint="eastAsia" w:ascii="仿宋" w:hAnsi="仿宋" w:eastAsia="仿宋" w:cs="仿宋"/>
          <w:sz w:val="32"/>
          <w:szCs w:val="32"/>
        </w:rPr>
        <w:t>等有关部门依职责对城市配套费征收、使用和管理进行监督检查。违反规定的处理：按照《中华人民共和国预算法》和《财政违法行为处罚处分条例》（国务院令第427号）等法规规定。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第五部分：附则。包含第六章第四十二条至四十三条。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779A"/>
    <w:rsid w:val="1BA44AFA"/>
    <w:rsid w:val="1C2E37C5"/>
    <w:rsid w:val="1E2C35FC"/>
    <w:rsid w:val="1F82779A"/>
    <w:rsid w:val="4C667513"/>
    <w:rsid w:val="4F8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222222"/>
      <w:u w:val="none"/>
    </w:rPr>
  </w:style>
  <w:style w:type="character" w:styleId="11">
    <w:name w:val="HTML Cite"/>
    <w:basedOn w:val="5"/>
    <w:qFormat/>
    <w:uiPriority w:val="0"/>
  </w:style>
  <w:style w:type="paragraph" w:customStyle="1" w:styleId="12">
    <w:name w:val="text-c"/>
    <w:basedOn w:val="1"/>
    <w:qFormat/>
    <w:uiPriority w:val="0"/>
    <w:pPr>
      <w:jc w:val="center"/>
    </w:pPr>
    <w:rPr>
      <w:kern w:val="0"/>
      <w:lang w:val="en-US" w:eastAsia="zh-CN" w:bidi="ar"/>
    </w:rPr>
  </w:style>
  <w:style w:type="character" w:customStyle="1" w:styleId="13">
    <w:name w:val="fl2"/>
    <w:basedOn w:val="5"/>
    <w:qFormat/>
    <w:uiPriority w:val="0"/>
    <w:rPr>
      <w:b/>
      <w:color w:val="0063B3"/>
      <w:sz w:val="27"/>
      <w:szCs w:val="27"/>
      <w:shd w:val="clear" w:fill="B0D4F5"/>
    </w:rPr>
  </w:style>
  <w:style w:type="character" w:customStyle="1" w:styleId="14">
    <w:name w:val="ml-30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2020-12-23T06:44:00Z</dcterms:created>
  <dc:creator>Administrator</dc:creator>
  <cp:lastModifiedBy>水水</cp:lastModifiedBy>
  <cp:lastPrinted>2020-12-23T08:15:00Z</cp:lastPrinted>
  <dcterms:modified xsi:type="dcterms:W3CDTF">2020-12-24T01:52:43Z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