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auto"/>
          <w:sz w:val="44"/>
          <w:szCs w:val="44"/>
          <w:lang w:eastAsia="zh-CN"/>
        </w:rPr>
      </w:pPr>
      <w:bookmarkStart w:id="2" w:name="_GoBack"/>
      <w:bookmarkEnd w:id="2"/>
      <w:bookmarkStart w:id="0" w:name="zhengwen"/>
      <w:r>
        <w:rPr>
          <w:rFonts w:hint="eastAsia" w:ascii="方正小标宋简体" w:hAnsi="方正小标宋简体" w:eastAsia="方正小标宋简体" w:cs="方正小标宋简体"/>
          <w:b/>
          <w:color w:val="auto"/>
          <w:sz w:val="44"/>
          <w:szCs w:val="44"/>
          <w:lang w:eastAsia="zh-CN"/>
        </w:rPr>
        <w:t>遂平县</w:t>
      </w:r>
      <w:r>
        <w:rPr>
          <w:rFonts w:hint="eastAsia" w:ascii="方正小标宋简体" w:hAnsi="方正小标宋简体" w:eastAsia="方正小标宋简体" w:cs="方正小标宋简体"/>
          <w:b/>
          <w:color w:val="auto"/>
          <w:sz w:val="44"/>
          <w:szCs w:val="44"/>
        </w:rPr>
        <w:t>烟草制品零售点合理布局规划</w:t>
      </w:r>
      <w:r>
        <w:rPr>
          <w:rFonts w:hint="eastAsia" w:ascii="方正小标宋简体" w:hAnsi="方正小标宋简体" w:eastAsia="方正小标宋简体" w:cs="方正小标宋简体"/>
          <w:b/>
          <w:color w:val="auto"/>
          <w:sz w:val="44"/>
          <w:szCs w:val="44"/>
          <w:lang w:eastAsia="zh-CN"/>
        </w:rPr>
        <w:t>（草案）</w:t>
      </w:r>
    </w:p>
    <w:p>
      <w:pPr>
        <w:rPr>
          <w:rFonts w:ascii="仿宋" w:hAnsi="仿宋" w:eastAsia="仿宋" w:cs="仿宋"/>
          <w:color w:val="auto"/>
          <w:kern w:val="0"/>
          <w:sz w:val="32"/>
          <w:szCs w:val="28"/>
          <w:shd w:val="clear" w:color="auto" w:fill="FFFFFF"/>
        </w:rPr>
      </w:pPr>
    </w:p>
    <w:p>
      <w:pPr>
        <w:jc w:val="center"/>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第一章 总则</w:t>
      </w:r>
    </w:p>
    <w:p>
      <w:pPr>
        <w:keepNext w:val="0"/>
        <w:keepLines w:val="0"/>
        <w:pageBreakBefore w:val="0"/>
        <w:widowControl w:val="0"/>
        <w:kinsoku/>
        <w:wordWrap/>
        <w:overflowPunct/>
        <w:topLinePunct w:val="0"/>
        <w:autoSpaceDE/>
        <w:autoSpaceDN/>
        <w:bidi w:val="0"/>
        <w:adjustRightInd/>
        <w:snapToGrid/>
        <w:ind w:firstLine="561"/>
        <w:textAlignment w:val="auto"/>
        <w:rPr>
          <w:rFonts w:hint="eastAsia" w:ascii="仿宋_GB2312" w:hAnsi="微软雅黑" w:eastAsia="仿宋_GB2312" w:cs="宋体"/>
          <w:color w:val="auto"/>
          <w:kern w:val="0"/>
          <w:sz w:val="32"/>
          <w:szCs w:val="32"/>
        </w:rPr>
      </w:pPr>
      <w:r>
        <w:rPr>
          <w:rFonts w:hint="eastAsia" w:ascii="黑体" w:hAnsi="黑体" w:eastAsia="黑体" w:cs="黑体"/>
          <w:color w:val="auto"/>
          <w:kern w:val="0"/>
          <w:sz w:val="32"/>
          <w:szCs w:val="32"/>
          <w:shd w:val="clear" w:color="auto" w:fill="FFFFFF"/>
        </w:rPr>
        <w:t>第一条</w:t>
      </w:r>
      <w:r>
        <w:rPr>
          <w:rFonts w:hint="eastAsia" w:ascii="楷体" w:hAnsi="楷体" w:eastAsia="楷体" w:cs="楷体"/>
          <w:color w:val="auto"/>
          <w:kern w:val="0"/>
          <w:sz w:val="32"/>
          <w:szCs w:val="32"/>
          <w:shd w:val="clear" w:color="auto" w:fill="FFFFFF"/>
        </w:rPr>
        <w:t xml:space="preserve"> </w:t>
      </w:r>
      <w:r>
        <w:rPr>
          <w:rFonts w:hint="eastAsia" w:ascii="仿宋_GB2312" w:hAnsi="微软雅黑" w:eastAsia="仿宋_GB2312" w:cs="宋体"/>
          <w:color w:val="auto"/>
          <w:kern w:val="0"/>
          <w:sz w:val="32"/>
          <w:szCs w:val="32"/>
        </w:rPr>
        <w:t>为加强烟草专卖零售许可证管理，规范烟草制品零售市场经营秩序，维护国家利益，保护烟草制品经营者、消费者以及未成年人的合法权益，履行控烟履约责任，促进烟草市场健康发展，根据《中华人民共和国行政许可法》《中华人民共和国烟草专卖法》《中华人民共和国未成年人保护法》《中华人民共和国烟草专卖法实施条例》《烟草专卖许可证管理办法》《烟草专卖许可证管理办法实施细则》等法律法规和规章规定，结合辖区实际，制定本规划。</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第二条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sz w:val="32"/>
          <w:szCs w:val="32"/>
        </w:rPr>
        <w:t>烟草制品零售点合理布局遵循合法依规、市场导向、服务社会、分区规划、动态平衡的基本原则。</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第三条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sz w:val="32"/>
          <w:szCs w:val="32"/>
        </w:rPr>
        <w:t>本规定适用于</w:t>
      </w:r>
      <w:r>
        <w:rPr>
          <w:rFonts w:hint="eastAsia" w:ascii="仿宋_GB2312" w:hAnsi="仿宋" w:eastAsia="仿宋_GB2312" w:cs="仿宋"/>
          <w:color w:val="auto"/>
          <w:sz w:val="32"/>
          <w:szCs w:val="32"/>
          <w:lang w:eastAsia="zh-CN"/>
        </w:rPr>
        <w:t>遂平</w:t>
      </w:r>
      <w:r>
        <w:rPr>
          <w:rFonts w:hint="eastAsia" w:ascii="仿宋_GB2312" w:hAnsi="仿宋" w:eastAsia="仿宋_GB2312" w:cs="仿宋"/>
          <w:color w:val="auto"/>
          <w:sz w:val="32"/>
          <w:szCs w:val="32"/>
        </w:rPr>
        <w:t>县行政区划内烟草制品零售点的设置与管理，适用于从事烟草制品零售业务的申请、审查、决定等。</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第四条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sz w:val="32"/>
          <w:szCs w:val="32"/>
        </w:rPr>
        <w:t>烟草制品零售点（以下简称“零售点”）是指依法取得烟草专卖零售许可证从事烟草制品零售业务的公民、法人及其他组织开展烟草制品零售业务的经营场所。</w:t>
      </w:r>
    </w:p>
    <w:p>
      <w:pPr>
        <w:autoSpaceDE w:val="0"/>
        <w:autoSpaceDN w:val="0"/>
        <w:adjustRightInd w:val="0"/>
        <w:ind w:firstLine="620" w:firstLineChars="196"/>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第五条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sz w:val="32"/>
          <w:szCs w:val="32"/>
        </w:rPr>
        <w:t>本规划所指的合理布局是指为合理满足消费需求、防止无序过度竞争、落实控烟履约要求，综合考虑辖区内人口数量、交通状况、经济发展水平、消费能力等因素，以辖区内街道、乡镇、行政村为市场区域单元进行科学规划布局，并对单元内的零售点数量进行动态调整，零售点数量设置应当以指导数为上限，达到上限的，不予设置零售点。</w:t>
      </w:r>
    </w:p>
    <w:p>
      <w:pPr>
        <w:ind w:firstLine="632" w:firstLineChars="20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第六条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 w:eastAsia="仿宋_GB2312" w:cs="仿宋"/>
          <w:color w:val="auto"/>
          <w:sz w:val="32"/>
          <w:szCs w:val="32"/>
          <w:lang w:eastAsia="zh-CN"/>
        </w:rPr>
        <w:t>遂平</w:t>
      </w:r>
      <w:r>
        <w:rPr>
          <w:rFonts w:hint="eastAsia" w:ascii="仿宋_GB2312" w:hAnsi="仿宋" w:eastAsia="仿宋_GB2312" w:cs="仿宋"/>
          <w:color w:val="auto"/>
          <w:sz w:val="32"/>
          <w:szCs w:val="32"/>
        </w:rPr>
        <w:t>县烟草专卖局应当参照上级部门定期对外发布的零售点指导数，综合考虑市场区域、网点存量、卷烟销量、消费习惯、申请数量等指标的变化，对本行政区内的零售点数量进行动态调整，并及时公示各街道、乡镇、行政村零售点指导数、零售点数量、各零售业务分布情况。</w:t>
      </w:r>
    </w:p>
    <w:p>
      <w:pPr>
        <w:ind w:firstLine="560"/>
        <w:rPr>
          <w:rFonts w:hint="eastAsia" w:ascii="仿宋_GB2312" w:hAnsi="仿宋" w:eastAsia="仿宋_GB2312" w:cs="仿宋"/>
          <w:color w:val="auto"/>
          <w:sz w:val="32"/>
          <w:szCs w:val="32"/>
        </w:rPr>
      </w:pPr>
      <w:r>
        <w:rPr>
          <w:rFonts w:hint="eastAsia" w:ascii="黑体" w:hAnsi="黑体" w:eastAsia="黑体" w:cs="黑体"/>
          <w:color w:val="auto"/>
          <w:kern w:val="0"/>
          <w:sz w:val="32"/>
          <w:szCs w:val="32"/>
          <w:shd w:val="clear" w:color="auto" w:fill="FFFFFF"/>
        </w:rPr>
        <w:t xml:space="preserve">第七条 </w:t>
      </w:r>
      <w:r>
        <w:rPr>
          <w:rFonts w:hint="eastAsia" w:ascii="仿宋_GB2312" w:hAnsi="仿宋" w:eastAsia="仿宋_GB2312" w:cs="仿宋"/>
          <w:color w:val="auto"/>
          <w:sz w:val="32"/>
          <w:szCs w:val="32"/>
        </w:rPr>
        <w:t>烟草专卖局根据受理时间的先后顺序审批发放烟草专卖零售许可证。</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第二章 零售点总体布局规划</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第八条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根据区域位置、人口消费结构、人口密度、商业活动特征、特殊环境差异等因素将</w:t>
      </w:r>
      <w:r>
        <w:rPr>
          <w:rFonts w:hint="eastAsia" w:ascii="仿宋_GB2312" w:hAnsi="仿宋" w:eastAsia="仿宋_GB2312" w:cs="仿宋"/>
          <w:color w:val="auto"/>
          <w:kern w:val="0"/>
          <w:sz w:val="32"/>
          <w:szCs w:val="32"/>
          <w:shd w:val="clear" w:color="auto" w:fill="FFFFFF"/>
          <w:lang w:eastAsia="zh-CN"/>
        </w:rPr>
        <w:t>遂平县</w:t>
      </w:r>
      <w:r>
        <w:rPr>
          <w:rFonts w:hint="eastAsia" w:ascii="仿宋_GB2312" w:hAnsi="仿宋" w:eastAsia="仿宋_GB2312" w:cs="仿宋"/>
          <w:color w:val="auto"/>
          <w:kern w:val="0"/>
          <w:sz w:val="32"/>
          <w:szCs w:val="32"/>
          <w:shd w:val="clear" w:color="auto" w:fill="FFFFFF"/>
        </w:rPr>
        <w:t>划分为：城区街道、住宅小区、农村集镇、行政村、特殊区域等五个区域单元。</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第九条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城区街道：</w:t>
      </w:r>
      <w:r>
        <w:rPr>
          <w:rFonts w:hint="eastAsia" w:ascii="仿宋_GB2312" w:hAnsi="仿宋" w:eastAsia="仿宋_GB2312" w:cs="仿宋"/>
          <w:color w:val="auto"/>
          <w:kern w:val="0"/>
          <w:sz w:val="32"/>
          <w:szCs w:val="32"/>
          <w:shd w:val="clear" w:color="auto" w:fill="FFFFFF"/>
          <w:lang w:eastAsia="zh-CN"/>
        </w:rPr>
        <w:t>主要</w:t>
      </w:r>
      <w:r>
        <w:rPr>
          <w:rFonts w:hint="eastAsia" w:ascii="仿宋_GB2312" w:hAnsi="仿宋" w:eastAsia="仿宋_GB2312" w:cs="仿宋"/>
          <w:color w:val="auto"/>
          <w:kern w:val="0"/>
          <w:sz w:val="32"/>
          <w:szCs w:val="32"/>
          <w:shd w:val="clear" w:color="auto" w:fill="FFFFFF"/>
        </w:rPr>
        <w:t>是指：</w:t>
      </w:r>
      <w:r>
        <w:rPr>
          <w:rFonts w:hint="eastAsia" w:ascii="仿宋_GB2312" w:hAnsi="仿宋" w:eastAsia="仿宋_GB2312" w:cs="仿宋"/>
          <w:color w:val="auto"/>
          <w:kern w:val="0"/>
          <w:sz w:val="32"/>
          <w:szCs w:val="32"/>
          <w:shd w:val="clear" w:color="auto" w:fill="FFFFFF"/>
          <w:lang w:eastAsia="zh-CN"/>
        </w:rPr>
        <w:t>希望大道以南，西关大道、驿城大道以东，玉湖路、勤政路以北，铁路道口以西等</w:t>
      </w:r>
      <w:r>
        <w:rPr>
          <w:rFonts w:hint="eastAsia" w:ascii="仿宋_GB2312" w:hAnsi="仿宋" w:eastAsia="仿宋_GB2312" w:cs="仿宋"/>
          <w:color w:val="auto"/>
          <w:kern w:val="0"/>
          <w:sz w:val="32"/>
          <w:szCs w:val="32"/>
          <w:shd w:val="clear" w:color="auto" w:fill="FFFFFF"/>
        </w:rPr>
        <w:t>上述路段所围区域内视为城区，含上述道路两侧</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（详见附件1</w:t>
      </w:r>
      <w:r>
        <w:rPr>
          <w:rFonts w:hint="eastAsia" w:ascii="仿宋_GB2312" w:hAnsi="仿宋" w:eastAsia="仿宋_GB2312" w:cs="仿宋"/>
          <w:color w:val="auto"/>
          <w:kern w:val="0"/>
          <w:sz w:val="32"/>
          <w:szCs w:val="32"/>
          <w:shd w:val="clear" w:color="auto" w:fill="FFFFFF"/>
          <w:lang w:eastAsia="zh-CN"/>
        </w:rPr>
        <w:t>《遂平县</w:t>
      </w:r>
      <w:r>
        <w:rPr>
          <w:rFonts w:hint="eastAsia" w:ascii="仿宋_GB2312" w:hAnsi="仿宋" w:eastAsia="仿宋_GB2312" w:cs="仿宋"/>
          <w:color w:val="auto"/>
          <w:kern w:val="0"/>
          <w:sz w:val="32"/>
          <w:szCs w:val="32"/>
          <w:shd w:val="clear" w:color="auto" w:fill="FFFFFF"/>
        </w:rPr>
        <w:t>烟草制品零售点合理布局城区街道规划名录</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w:t>
      </w:r>
    </w:p>
    <w:p>
      <w:pPr>
        <w:ind w:firstLine="561"/>
        <w:rPr>
          <w:rFonts w:hint="eastAsia" w:ascii="仿宋_GB2312" w:hAnsi="仿宋" w:eastAsia="仿宋_GB2312" w:cs="仿宋"/>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rPr>
        <w:t xml:space="preserve">第十条 </w:t>
      </w:r>
      <w:r>
        <w:rPr>
          <w:rFonts w:hint="eastAsia" w:ascii="仿宋_GB2312" w:hAnsi="仿宋" w:eastAsia="仿宋_GB2312" w:cs="仿宋"/>
          <w:color w:val="auto"/>
          <w:kern w:val="0"/>
          <w:sz w:val="32"/>
          <w:szCs w:val="32"/>
          <w:shd w:val="clear" w:color="auto" w:fill="FFFFFF"/>
        </w:rPr>
        <w:t xml:space="preserve">居住小区指以住宅楼房为主体并配有商业网点、文化教育、娱乐、绿化、公用和公共设施等而形成的具有一定规模的居民生活区，并不为城市交通干道所穿越的完整地段。 </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第十一条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农村集镇：指乡镇政府</w:t>
      </w:r>
      <w:r>
        <w:rPr>
          <w:rFonts w:hint="eastAsia" w:ascii="仿宋_GB2312" w:hAnsi="仿宋" w:eastAsia="仿宋_GB2312" w:cs="仿宋"/>
          <w:color w:val="auto"/>
          <w:kern w:val="0"/>
          <w:sz w:val="32"/>
          <w:szCs w:val="32"/>
          <w:shd w:val="clear" w:color="auto" w:fill="FFFFFF"/>
          <w:lang w:eastAsia="zh-CN"/>
        </w:rPr>
        <w:t>（街道办事处）、景区管委会</w:t>
      </w:r>
      <w:r>
        <w:rPr>
          <w:rFonts w:hint="eastAsia" w:ascii="仿宋_GB2312" w:hAnsi="仿宋" w:eastAsia="仿宋_GB2312" w:cs="仿宋"/>
          <w:color w:val="auto"/>
          <w:kern w:val="0"/>
          <w:sz w:val="32"/>
          <w:szCs w:val="32"/>
          <w:shd w:val="clear" w:color="auto" w:fill="FFFFFF"/>
        </w:rPr>
        <w:t>所在地、农村沿主要公路形成的集贸市场，具有人口密度较大、商业活动较活跃特征的区域。</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2</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lang w:val="en-US"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烟草制品零售点合理布局农村集镇规划名录</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olor w:val="auto"/>
          <w:sz w:val="32"/>
          <w:szCs w:val="32"/>
        </w:rPr>
        <w:t>。</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第十二条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行政村区域：指按政府行政区划农村集市以外的农村区域。</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3</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烟草制品零售点合理布局行政村规划名录</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w:t>
      </w:r>
    </w:p>
    <w:p>
      <w:pPr>
        <w:ind w:firstLine="560"/>
        <w:rPr>
          <w:rFonts w:hint="eastAsia" w:ascii="仿宋_GB2312" w:hAnsi="仿宋" w:eastAsia="仿宋_GB2312" w:cs="仿宋"/>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rPr>
        <w:t>第十三条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特殊区域：物流园区、</w:t>
      </w:r>
      <w:r>
        <w:rPr>
          <w:rFonts w:hint="eastAsia" w:ascii="仿宋_GB2312" w:hAnsi="仿宋" w:eastAsia="仿宋_GB2312" w:cs="仿宋"/>
          <w:color w:val="auto"/>
          <w:kern w:val="0"/>
          <w:sz w:val="32"/>
          <w:szCs w:val="32"/>
          <w:shd w:val="clear" w:color="auto" w:fill="FFFFFF"/>
          <w:lang w:eastAsia="zh-CN"/>
        </w:rPr>
        <w:t>工业园区、</w:t>
      </w:r>
      <w:r>
        <w:rPr>
          <w:rFonts w:hint="eastAsia" w:ascii="仿宋_GB2312" w:hAnsi="仿宋" w:eastAsia="仿宋_GB2312" w:cs="仿宋"/>
          <w:color w:val="auto"/>
          <w:kern w:val="0"/>
          <w:sz w:val="32"/>
          <w:szCs w:val="32"/>
          <w:shd w:val="clear" w:color="auto" w:fill="FFFFFF"/>
        </w:rPr>
        <w:t>旅游景区、飞机场、火车站、</w:t>
      </w:r>
      <w:r>
        <w:rPr>
          <w:rFonts w:hint="eastAsia" w:ascii="仿宋_GB2312" w:hAnsi="仿宋" w:eastAsia="仿宋_GB2312" w:cs="仿宋"/>
          <w:color w:val="auto"/>
          <w:kern w:val="0"/>
          <w:sz w:val="32"/>
          <w:szCs w:val="32"/>
          <w:shd w:val="clear" w:color="auto" w:fill="FFFFFF"/>
          <w:lang w:eastAsia="zh-CN"/>
        </w:rPr>
        <w:t>看守所、拘留所、监狱</w:t>
      </w:r>
      <w:r>
        <w:rPr>
          <w:rFonts w:hint="eastAsia" w:ascii="仿宋_GB2312" w:hAnsi="仿宋" w:eastAsia="仿宋_GB2312" w:cs="仿宋"/>
          <w:color w:val="auto"/>
          <w:kern w:val="0"/>
          <w:sz w:val="32"/>
          <w:szCs w:val="32"/>
          <w:shd w:val="clear" w:color="auto" w:fill="FFFFFF"/>
        </w:rPr>
        <w:t>、集贸市场、城中村、大型建筑工地等。</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4</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县烟草制品零售点合理布局特殊区域规划名录》</w:t>
      </w:r>
      <w:r>
        <w:rPr>
          <w:rFonts w:hint="eastAsia" w:ascii="仿宋_GB2312" w:hAnsi="仿宋" w:eastAsia="仿宋_GB2312" w:cs="仿宋"/>
          <w:color w:val="auto"/>
          <w:kern w:val="0"/>
          <w:sz w:val="32"/>
          <w:szCs w:val="32"/>
          <w:shd w:val="clear" w:color="auto" w:fill="FFFFFF"/>
          <w:lang w:eastAsia="zh-CN"/>
        </w:rPr>
        <w:t>）</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第十四条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各区域零售点的设置采取总量规划+距离限制+限制性条件的布局模式。</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第三章 零售点布局设置标准</w:t>
      </w:r>
    </w:p>
    <w:p>
      <w:pPr>
        <w:jc w:val="center"/>
        <w:rPr>
          <w:rFonts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第一节  零售点布局标准</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第十五条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在城区繁华路段（街道）设置零售点，与最近零售点的间距不低于</w:t>
      </w:r>
      <w:r>
        <w:rPr>
          <w:rFonts w:hint="eastAsia" w:ascii="仿宋_GB2312" w:hAnsi="仿宋" w:eastAsia="仿宋_GB2312" w:cs="仿宋"/>
          <w:color w:val="auto"/>
          <w:kern w:val="0"/>
          <w:sz w:val="32"/>
          <w:szCs w:val="32"/>
          <w:shd w:val="clear" w:color="auto" w:fill="FFFFFF"/>
          <w:lang w:val="en-US" w:eastAsia="zh-CN"/>
        </w:rPr>
        <w:t>50</w:t>
      </w:r>
      <w:r>
        <w:rPr>
          <w:rFonts w:hint="eastAsia" w:ascii="仿宋_GB2312" w:hAnsi="仿宋" w:eastAsia="仿宋_GB2312" w:cs="仿宋"/>
          <w:color w:val="auto"/>
          <w:kern w:val="0"/>
          <w:sz w:val="32"/>
          <w:szCs w:val="32"/>
          <w:shd w:val="clear" w:color="auto" w:fill="FFFFFF"/>
        </w:rPr>
        <w:t>米。</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 xml:space="preserve">第十六条 </w:t>
      </w:r>
      <w:r>
        <w:rPr>
          <w:rFonts w:hint="eastAsia" w:ascii="仿宋_GB2312" w:hAnsi="仿宋" w:eastAsia="仿宋_GB2312" w:cs="仿宋"/>
          <w:color w:val="auto"/>
          <w:kern w:val="0"/>
          <w:sz w:val="32"/>
          <w:szCs w:val="32"/>
          <w:shd w:val="clear" w:color="auto" w:fill="FFFFFF"/>
          <w:lang w:eastAsia="zh-CN"/>
        </w:rPr>
        <w:t>在城区</w:t>
      </w:r>
      <w:r>
        <w:rPr>
          <w:rFonts w:hint="eastAsia" w:ascii="仿宋_GB2312" w:hAnsi="仿宋" w:eastAsia="仿宋_GB2312" w:cs="仿宋"/>
          <w:color w:val="auto"/>
          <w:kern w:val="0"/>
          <w:sz w:val="32"/>
          <w:szCs w:val="32"/>
          <w:shd w:val="clear" w:color="auto" w:fill="FFFFFF"/>
        </w:rPr>
        <w:t>一般路段（街道）最近零售点之间的距离不低于80米。</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第十七条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在农村集镇</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行政村区域设置零售点，与最近零售点的间距不低于</w:t>
      </w:r>
      <w:r>
        <w:rPr>
          <w:rFonts w:hint="eastAsia" w:ascii="仿宋_GB2312" w:hAnsi="仿宋" w:eastAsia="仿宋_GB2312" w:cs="仿宋"/>
          <w:color w:val="auto"/>
          <w:kern w:val="0"/>
          <w:sz w:val="32"/>
          <w:szCs w:val="32"/>
          <w:shd w:val="clear" w:color="auto" w:fill="FFFFFF"/>
          <w:lang w:val="en-US" w:eastAsia="zh-CN"/>
        </w:rPr>
        <w:t>100</w:t>
      </w:r>
      <w:r>
        <w:rPr>
          <w:rFonts w:hint="eastAsia" w:ascii="仿宋_GB2312" w:hAnsi="仿宋" w:eastAsia="仿宋_GB2312" w:cs="仿宋"/>
          <w:color w:val="auto"/>
          <w:kern w:val="0"/>
          <w:sz w:val="32"/>
          <w:szCs w:val="32"/>
          <w:shd w:val="clear" w:color="auto" w:fill="FFFFFF"/>
        </w:rPr>
        <w:t>米。</w:t>
      </w:r>
    </w:p>
    <w:p>
      <w:pPr>
        <w:ind w:firstLine="560"/>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 xml:space="preserve">第十八条 </w:t>
      </w:r>
      <w:r>
        <w:rPr>
          <w:rFonts w:hint="eastAsia" w:ascii="仿宋_GB2312" w:hAnsi="仿宋" w:eastAsia="仿宋_GB2312" w:cs="仿宋"/>
          <w:color w:val="auto"/>
          <w:kern w:val="0"/>
          <w:sz w:val="32"/>
          <w:szCs w:val="32"/>
          <w:shd w:val="clear" w:color="auto" w:fill="FFFFFF"/>
        </w:rPr>
        <w:t>大型综合性市场、专业市场、集贸市场内卷烟零售点设置原则上不超过</w:t>
      </w:r>
      <w:r>
        <w:rPr>
          <w:rFonts w:hint="eastAsia" w:ascii="仿宋_GB2312" w:hAnsi="仿宋" w:eastAsia="仿宋_GB2312" w:cs="仿宋"/>
          <w:color w:val="auto"/>
          <w:kern w:val="0"/>
          <w:sz w:val="32"/>
          <w:szCs w:val="32"/>
          <w:shd w:val="clear" w:color="auto" w:fill="FFFFFF"/>
          <w:lang w:val="en-US" w:eastAsia="zh-CN"/>
        </w:rPr>
        <w:t>2</w:t>
      </w:r>
      <w:r>
        <w:rPr>
          <w:rFonts w:hint="eastAsia" w:ascii="仿宋_GB2312" w:hAnsi="仿宋" w:eastAsia="仿宋_GB2312" w:cs="仿宋"/>
          <w:color w:val="auto"/>
          <w:kern w:val="0"/>
          <w:sz w:val="32"/>
          <w:szCs w:val="32"/>
          <w:shd w:val="clear" w:color="auto" w:fill="FFFFFF"/>
        </w:rPr>
        <w:t>个零售点。</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第十九条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lang w:eastAsia="zh-CN"/>
        </w:rPr>
        <w:t>看守所、拘留所、监狱</w:t>
      </w:r>
      <w:r>
        <w:rPr>
          <w:rFonts w:hint="eastAsia" w:ascii="仿宋_GB2312" w:hAnsi="仿宋" w:eastAsia="仿宋_GB2312" w:cs="仿宋"/>
          <w:color w:val="auto"/>
          <w:kern w:val="0"/>
          <w:sz w:val="32"/>
          <w:szCs w:val="32"/>
          <w:shd w:val="clear" w:color="auto" w:fill="FFFFFF"/>
        </w:rPr>
        <w:t>生活区、大型建筑工地、</w:t>
      </w:r>
      <w:r>
        <w:rPr>
          <w:rFonts w:hint="eastAsia" w:ascii="仿宋_GB2312" w:hAnsi="仿宋" w:eastAsia="仿宋_GB2312" w:cs="仿宋"/>
          <w:color w:val="auto"/>
          <w:sz w:val="32"/>
          <w:szCs w:val="32"/>
        </w:rPr>
        <w:t>规模较大的企业、达到</w:t>
      </w:r>
      <w:r>
        <w:rPr>
          <w:rFonts w:hint="eastAsia" w:ascii="仿宋_GB2312" w:hAnsi="仿宋" w:eastAsia="仿宋_GB2312" w:cs="仿宋"/>
          <w:color w:val="auto"/>
          <w:sz w:val="32"/>
          <w:szCs w:val="32"/>
          <w:lang w:val="en-US" w:eastAsia="zh-CN"/>
        </w:rPr>
        <w:t>1000人</w:t>
      </w:r>
      <w:r>
        <w:rPr>
          <w:rFonts w:hint="eastAsia" w:ascii="仿宋_GB2312" w:hAnsi="仿宋" w:eastAsia="仿宋_GB2312" w:cs="仿宋"/>
          <w:color w:val="auto"/>
          <w:sz w:val="32"/>
          <w:szCs w:val="32"/>
        </w:rPr>
        <w:t>标准</w:t>
      </w:r>
      <w:r>
        <w:rPr>
          <w:rFonts w:hint="eastAsia" w:ascii="仿宋_GB2312" w:hAnsi="仿宋" w:eastAsia="仿宋_GB2312" w:cs="仿宋"/>
          <w:color w:val="auto"/>
          <w:sz w:val="32"/>
          <w:szCs w:val="32"/>
          <w:lang w:eastAsia="zh-CN"/>
        </w:rPr>
        <w:t>的</w:t>
      </w:r>
      <w:r>
        <w:rPr>
          <w:rFonts w:hint="eastAsia" w:ascii="仿宋_GB2312" w:hAnsi="仿宋" w:eastAsia="仿宋_GB2312" w:cs="仿宋"/>
          <w:color w:val="auto"/>
          <w:sz w:val="32"/>
          <w:szCs w:val="32"/>
        </w:rPr>
        <w:t>厂矿</w:t>
      </w:r>
      <w:r>
        <w:rPr>
          <w:rFonts w:hint="eastAsia" w:ascii="仿宋_GB2312" w:hAnsi="仿宋" w:eastAsia="仿宋_GB2312" w:cs="仿宋"/>
          <w:color w:val="auto"/>
          <w:kern w:val="0"/>
          <w:sz w:val="32"/>
          <w:szCs w:val="32"/>
          <w:shd w:val="clear" w:color="auto" w:fill="FFFFFF"/>
        </w:rPr>
        <w:t>一般只设置1个零售点（需要申请人为烟草部门执法及服务人员提供出入证明的</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申请人应当提供）；超过2000人以上规模的高等院校（同一校区）可以设置2个零售点，但原则上总数最多不超过3个零售点</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sz w:val="32"/>
          <w:szCs w:val="32"/>
        </w:rPr>
        <w:t>高速公路服务区原则上设置</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个零售点</w:t>
      </w:r>
      <w:r>
        <w:rPr>
          <w:rFonts w:hint="eastAsia" w:ascii="仿宋_GB2312" w:hAnsi="仿宋" w:eastAsia="仿宋_GB2312" w:cs="仿宋"/>
          <w:color w:val="auto"/>
          <w:kern w:val="0"/>
          <w:sz w:val="32"/>
          <w:szCs w:val="32"/>
          <w:shd w:val="clear" w:color="auto" w:fill="FFFFFF"/>
        </w:rPr>
        <w:t>。</w:t>
      </w:r>
    </w:p>
    <w:p>
      <w:pPr>
        <w:ind w:firstLine="56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客房在</w:t>
      </w:r>
      <w:r>
        <w:rPr>
          <w:rFonts w:hint="eastAsia" w:ascii="仿宋_GB2312" w:hAnsi="仿宋" w:eastAsia="仿宋_GB2312" w:cs="仿宋"/>
          <w:color w:val="auto"/>
          <w:kern w:val="0"/>
          <w:sz w:val="32"/>
          <w:szCs w:val="32"/>
          <w:shd w:val="clear" w:color="auto" w:fill="FFFFFF"/>
          <w:lang w:val="en-US" w:eastAsia="zh-CN"/>
        </w:rPr>
        <w:t>50</w:t>
      </w:r>
      <w:r>
        <w:rPr>
          <w:rFonts w:hint="eastAsia" w:ascii="仿宋_GB2312" w:hAnsi="仿宋" w:eastAsia="仿宋_GB2312" w:cs="仿宋"/>
          <w:color w:val="auto"/>
          <w:kern w:val="0"/>
          <w:sz w:val="32"/>
          <w:szCs w:val="32"/>
          <w:shd w:val="clear" w:color="auto" w:fill="FFFFFF"/>
        </w:rPr>
        <w:t>间以上的宾馆酒店，旅游景区、度假村面积在10000平方米以上等相对封闭以满足停留在设施内特定顾客消费的经营场所，</w:t>
      </w:r>
      <w:r>
        <w:rPr>
          <w:rFonts w:hint="eastAsia" w:ascii="仿宋_GB2312" w:hAnsi="仿宋" w:eastAsia="仿宋_GB2312" w:cs="仿宋"/>
          <w:color w:val="auto"/>
          <w:kern w:val="0"/>
          <w:sz w:val="32"/>
          <w:szCs w:val="32"/>
          <w:shd w:val="clear" w:color="auto" w:fill="FFFFFF"/>
          <w:lang w:eastAsia="zh-CN"/>
        </w:rPr>
        <w:t>可</w:t>
      </w:r>
      <w:r>
        <w:rPr>
          <w:rFonts w:hint="eastAsia" w:ascii="仿宋_GB2312" w:hAnsi="仿宋" w:eastAsia="仿宋_GB2312" w:cs="仿宋"/>
          <w:color w:val="auto"/>
          <w:kern w:val="0"/>
          <w:sz w:val="32"/>
          <w:szCs w:val="32"/>
          <w:shd w:val="clear" w:color="auto" w:fill="FFFFFF"/>
        </w:rPr>
        <w:t>设置1个零售点。</w:t>
      </w:r>
    </w:p>
    <w:p>
      <w:pPr>
        <w:pStyle w:val="2"/>
        <w:ind w:firstLine="632" w:firstLineChars="200"/>
        <w:rPr>
          <w:rFonts w:hint="eastAsia" w:ascii="仿宋_GB2312" w:hAnsi="仿宋" w:eastAsia="仿宋_GB2312" w:cs="仿宋"/>
          <w:color w:val="auto"/>
          <w:kern w:val="0"/>
          <w:sz w:val="32"/>
          <w:szCs w:val="32"/>
          <w:shd w:val="clear" w:color="auto" w:fill="FFFFFF"/>
          <w:lang w:val="en-US" w:eastAsia="zh-CN" w:bidi="ar-SA"/>
        </w:rPr>
      </w:pPr>
      <w:r>
        <w:rPr>
          <w:rFonts w:hint="eastAsia" w:ascii="黑体" w:hAnsi="黑体" w:eastAsia="黑体" w:cs="黑体"/>
          <w:color w:val="auto"/>
          <w:kern w:val="0"/>
          <w:sz w:val="32"/>
          <w:szCs w:val="32"/>
          <w:shd w:val="clear" w:color="auto" w:fill="FFFFFF"/>
        </w:rPr>
        <w:t>第二十一条</w:t>
      </w:r>
      <w:r>
        <w:rPr>
          <w:rFonts w:hint="eastAsia" w:ascii="黑体" w:hAnsi="黑体" w:eastAsia="黑体" w:cs="黑体"/>
          <w:color w:val="auto"/>
          <w:kern w:val="0"/>
          <w:sz w:val="32"/>
          <w:szCs w:val="32"/>
          <w:shd w:val="clear" w:color="auto" w:fill="FFFFFF"/>
          <w:lang w:val="en-US" w:eastAsia="zh-CN"/>
        </w:rPr>
        <w:t xml:space="preserve"> </w:t>
      </w:r>
      <w:r>
        <w:rPr>
          <w:rFonts w:hint="eastAsia" w:ascii="仿宋_GB2312" w:hAnsi="仿宋" w:eastAsia="仿宋_GB2312" w:cs="仿宋"/>
          <w:color w:val="auto"/>
          <w:kern w:val="0"/>
          <w:sz w:val="32"/>
          <w:szCs w:val="32"/>
          <w:shd w:val="clear" w:color="auto" w:fill="FFFFFF"/>
          <w:lang w:val="en-US" w:eastAsia="zh-CN" w:bidi="ar-SA"/>
        </w:rPr>
        <w:t>建筑面积在500平方米（含）以上，以出租柜台（摊位）为主要经营形式的超市、大型商场、购物中心,按区域楼层划分，每区域楼层可设置1个零售点。</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二</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lang w:val="en-US" w:eastAsia="zh-CN" w:bidi="ar-SA"/>
        </w:rPr>
        <w:t>与烟草制品零售业务没有直接或间接互补营销关系的业态类型，设置零售点不得超过本辖区持证商户的1%（如按摩推拿、文化体育、音像制品、母婴用品、家电家具、通信器材、金融证券、仪器仪表、金银珠宝、修理修配、寄递配送、服装制售、中介劳服、寄卖典当、汽车租赁、传真打印、机耕农具、汽车美容、照相馆、农畜养殖、床上用品、非星级酒店、小型餐饮、茶叶店、彩票站等）。</w:t>
      </w:r>
    </w:p>
    <w:p>
      <w:pPr>
        <w:jc w:val="center"/>
        <w:rPr>
          <w:rFonts w:ascii="仿宋" w:hAnsi="仿宋" w:eastAsia="仿宋" w:cs="仿宋"/>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第二节 零售点设置条件</w:t>
      </w:r>
    </w:p>
    <w:p>
      <w:pPr>
        <w:ind w:firstLine="632" w:firstLineChars="200"/>
        <w:rPr>
          <w:rFonts w:hint="eastAsia"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三</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烟</w:t>
      </w:r>
      <w:r>
        <w:rPr>
          <w:rFonts w:hint="eastAsia" w:ascii="仿宋_GB2312" w:hAnsi="仿宋" w:eastAsia="仿宋_GB2312" w:cs="仿宋"/>
          <w:color w:val="auto"/>
          <w:kern w:val="0"/>
          <w:sz w:val="32"/>
          <w:szCs w:val="32"/>
          <w:shd w:val="clear" w:color="auto" w:fill="FFFFFF"/>
        </w:rPr>
        <w:t>草专卖零售许可证的固定经营场所条件设定：</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有对外开放的固定经营场所；</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与住所相对独立；</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场所应具备满足最低经营需求的基本设施设备条件，形成初步的经营业态。</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四</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烟草</w:t>
      </w:r>
      <w:r>
        <w:rPr>
          <w:rFonts w:hint="eastAsia" w:ascii="仿宋_GB2312" w:hAnsi="Times New Roman" w:eastAsia="仿宋_GB2312" w:cs="Times New Roman"/>
          <w:color w:val="auto"/>
          <w:sz w:val="32"/>
          <w:szCs w:val="32"/>
        </w:rPr>
        <w:t>专卖零售许可证申请人基本条件设定：</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申请人为非外商投资（包括再投资形式）的企业和个体工商户，具体以国家烟草专卖局有关规定为依据；</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申请零售许可证的申请人应具有完全民事行为能力；</w:t>
      </w:r>
    </w:p>
    <w:p>
      <w:pPr>
        <w:adjustRightInd w:val="0"/>
        <w:snapToGrid w:val="0"/>
        <w:spacing w:line="600" w:lineRule="exact"/>
        <w:ind w:firstLine="632" w:firstLineChars="200"/>
        <w:rPr>
          <w:rFonts w:ascii="仿宋_GB2312" w:hAnsi="仿宋" w:eastAsia="仿宋_GB2312" w:cs="仿宋"/>
          <w:color w:val="auto"/>
          <w:kern w:val="0"/>
          <w:sz w:val="32"/>
          <w:szCs w:val="32"/>
          <w:shd w:val="clear" w:color="auto" w:fill="FFFFFF"/>
        </w:rPr>
      </w:pPr>
      <w:r>
        <w:rPr>
          <w:rFonts w:hint="eastAsia"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连锁经营企业由各连锁门店分别申请烟草专卖零售许可</w:t>
      </w:r>
      <w:r>
        <w:rPr>
          <w:rFonts w:hint="eastAsia" w:ascii="仿宋_GB2312" w:hAnsi="仿宋" w:eastAsia="仿宋_GB2312" w:cs="仿宋"/>
          <w:color w:val="auto"/>
          <w:kern w:val="0"/>
          <w:sz w:val="32"/>
          <w:szCs w:val="32"/>
          <w:shd w:val="clear" w:color="auto" w:fill="FFFFFF"/>
        </w:rPr>
        <w:t>证。</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第四章 不予设置零售点情形</w:t>
      </w:r>
    </w:p>
    <w:p>
      <w:pPr>
        <w:ind w:firstLine="632" w:firstLineChars="20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五</w:t>
      </w:r>
      <w:r>
        <w:rPr>
          <w:rFonts w:hint="eastAsia" w:ascii="黑体" w:hAnsi="黑体" w:eastAsia="黑体" w:cs="黑体"/>
          <w:color w:val="auto"/>
          <w:kern w:val="0"/>
          <w:sz w:val="32"/>
          <w:szCs w:val="32"/>
          <w:shd w:val="clear" w:color="auto" w:fill="FFFFFF"/>
        </w:rPr>
        <w:t>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有下列情形之一的，不予设置零售点：</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（一）申请主体</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未取得工商营业执照的；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未成年人、无民事行为能力人及限制民事行为能力人；</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外商投资的商业企业（零售业态属于“娱乐服务类”的企业或有《烟草专卖许可证管理办法》第六十三条情形的除外）或者个体工商户及其以特许、吸纳加盟店等再投资形式从事烟草专卖品经营业务的；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4</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取消从事烟草专卖业务资格不满</w:t>
      </w:r>
      <w:r>
        <w:rPr>
          <w:rFonts w:hint="eastAsia" w:ascii="仿宋_GB2312" w:hAnsi="仿宋" w:eastAsia="仿宋_GB2312" w:cs="仿宋"/>
          <w:color w:val="auto"/>
          <w:kern w:val="0"/>
          <w:sz w:val="32"/>
          <w:szCs w:val="32"/>
          <w:shd w:val="clear" w:color="auto" w:fill="FFFFFF"/>
          <w:lang w:val="en-US" w:eastAsia="zh-CN"/>
        </w:rPr>
        <w:t>三</w:t>
      </w:r>
      <w:r>
        <w:rPr>
          <w:rFonts w:hint="eastAsia" w:ascii="仿宋_GB2312" w:hAnsi="仿宋" w:eastAsia="仿宋_GB2312" w:cs="仿宋"/>
          <w:color w:val="auto"/>
          <w:kern w:val="0"/>
          <w:sz w:val="32"/>
          <w:szCs w:val="32"/>
          <w:shd w:val="clear" w:color="auto" w:fill="FFFFFF"/>
        </w:rPr>
        <w:t>年的；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5</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因申请人隐瞒有关情况或者提供虚假材料，烟草专卖行政主管部门作出不予受理或者不予发证决定后，申请人</w:t>
      </w:r>
      <w:r>
        <w:rPr>
          <w:rFonts w:hint="eastAsia" w:ascii="仿宋_GB2312" w:hAnsi="仿宋" w:eastAsia="仿宋_GB2312" w:cs="仿宋"/>
          <w:color w:val="auto"/>
          <w:kern w:val="0"/>
          <w:sz w:val="32"/>
          <w:szCs w:val="32"/>
          <w:shd w:val="clear" w:color="auto" w:fill="FFFFFF"/>
          <w:lang w:val="en-US" w:eastAsia="zh-CN"/>
        </w:rPr>
        <w:t>一</w:t>
      </w:r>
      <w:r>
        <w:rPr>
          <w:rFonts w:hint="eastAsia" w:ascii="仿宋_GB2312" w:hAnsi="仿宋" w:eastAsia="仿宋_GB2312" w:cs="仿宋"/>
          <w:color w:val="auto"/>
          <w:kern w:val="0"/>
          <w:sz w:val="32"/>
          <w:szCs w:val="32"/>
          <w:shd w:val="clear" w:color="auto" w:fill="FFFFFF"/>
        </w:rPr>
        <w:t>年内再次提出申请的；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6</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因申请人以欺骗、贿赂等不正当手段取得的烟草专卖许可证被撤销后，申请人</w:t>
      </w:r>
      <w:r>
        <w:rPr>
          <w:rFonts w:hint="eastAsia" w:ascii="仿宋_GB2312" w:hAnsi="仿宋" w:eastAsia="仿宋_GB2312" w:cs="仿宋"/>
          <w:color w:val="auto"/>
          <w:kern w:val="0"/>
          <w:sz w:val="32"/>
          <w:szCs w:val="32"/>
          <w:shd w:val="clear" w:color="auto" w:fill="FFFFFF"/>
          <w:lang w:val="en-US" w:eastAsia="zh-CN"/>
        </w:rPr>
        <w:t>三</w:t>
      </w:r>
      <w:r>
        <w:rPr>
          <w:rFonts w:hint="eastAsia" w:ascii="仿宋_GB2312" w:hAnsi="仿宋" w:eastAsia="仿宋_GB2312" w:cs="仿宋"/>
          <w:color w:val="auto"/>
          <w:kern w:val="0"/>
          <w:sz w:val="32"/>
          <w:szCs w:val="32"/>
          <w:shd w:val="clear" w:color="auto" w:fill="FFFFFF"/>
        </w:rPr>
        <w:t>年内再次提出申请的；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7</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未领取烟草专卖零售许可证经营烟草专卖品业务，并且</w:t>
      </w:r>
      <w:r>
        <w:rPr>
          <w:rFonts w:hint="eastAsia" w:ascii="仿宋_GB2312" w:hAnsi="仿宋" w:eastAsia="仿宋_GB2312" w:cs="仿宋"/>
          <w:color w:val="auto"/>
          <w:kern w:val="0"/>
          <w:sz w:val="32"/>
          <w:szCs w:val="32"/>
          <w:shd w:val="clear" w:color="auto" w:fill="FFFFFF"/>
          <w:lang w:val="en-US" w:eastAsia="zh-CN"/>
        </w:rPr>
        <w:t>一</w:t>
      </w:r>
      <w:r>
        <w:rPr>
          <w:rFonts w:hint="eastAsia" w:ascii="仿宋_GB2312" w:hAnsi="仿宋" w:eastAsia="仿宋_GB2312" w:cs="仿宋"/>
          <w:color w:val="auto"/>
          <w:kern w:val="0"/>
          <w:sz w:val="32"/>
          <w:szCs w:val="32"/>
          <w:shd w:val="clear" w:color="auto" w:fill="FFFFFF"/>
        </w:rPr>
        <w:t>年内被执法机关处罚</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次以上，在</w:t>
      </w:r>
      <w:r>
        <w:rPr>
          <w:rFonts w:hint="eastAsia" w:ascii="仿宋_GB2312" w:hAnsi="仿宋" w:eastAsia="仿宋_GB2312" w:cs="仿宋"/>
          <w:color w:val="auto"/>
          <w:kern w:val="0"/>
          <w:sz w:val="32"/>
          <w:szCs w:val="32"/>
          <w:shd w:val="clear" w:color="auto" w:fill="FFFFFF"/>
          <w:lang w:val="en-US" w:eastAsia="zh-CN"/>
        </w:rPr>
        <w:t>三</w:t>
      </w:r>
      <w:r>
        <w:rPr>
          <w:rFonts w:hint="eastAsia" w:ascii="仿宋_GB2312" w:hAnsi="仿宋" w:eastAsia="仿宋_GB2312" w:cs="仿宋"/>
          <w:color w:val="auto"/>
          <w:kern w:val="0"/>
          <w:sz w:val="32"/>
          <w:szCs w:val="32"/>
          <w:shd w:val="clear" w:color="auto" w:fill="FFFFFF"/>
        </w:rPr>
        <w:t>年内申请领取烟草专卖零售许可证的；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8</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未领取烟草专卖零售许可证经营烟草专卖品业务被追究刑事责任，在</w:t>
      </w:r>
      <w:r>
        <w:rPr>
          <w:rFonts w:hint="eastAsia" w:ascii="仿宋_GB2312" w:hAnsi="仿宋" w:eastAsia="仿宋_GB2312" w:cs="仿宋"/>
          <w:color w:val="auto"/>
          <w:kern w:val="0"/>
          <w:sz w:val="32"/>
          <w:szCs w:val="32"/>
          <w:shd w:val="clear" w:color="auto" w:fill="FFFFFF"/>
          <w:lang w:eastAsia="zh-CN"/>
        </w:rPr>
        <w:t>三</w:t>
      </w:r>
      <w:r>
        <w:rPr>
          <w:rFonts w:hint="eastAsia" w:ascii="仿宋_GB2312" w:hAnsi="仿宋" w:eastAsia="仿宋_GB2312" w:cs="仿宋"/>
          <w:color w:val="auto"/>
          <w:kern w:val="0"/>
          <w:sz w:val="32"/>
          <w:szCs w:val="32"/>
          <w:shd w:val="clear" w:color="auto" w:fill="FFFFFF"/>
        </w:rPr>
        <w:t>年内申请领取烟草专卖零售许可证的</w:t>
      </w:r>
      <w:r>
        <w:rPr>
          <w:rFonts w:hint="eastAsia" w:ascii="仿宋_GB2312" w:hAnsi="仿宋" w:eastAsia="仿宋_GB2312" w:cs="仿宋"/>
          <w:color w:val="auto"/>
          <w:kern w:val="0"/>
          <w:sz w:val="32"/>
          <w:szCs w:val="32"/>
          <w:shd w:val="clear" w:color="auto" w:fill="FFFFFF"/>
          <w:lang w:eastAsia="zh-CN"/>
        </w:rPr>
        <w:t>。</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（二）经营场所</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无固定经营场所的；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经营场所与住所不相对独立的；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经营场所基于安全因素、未成年人保护等不适宜经营卷烟的场所（如生产、销售、经营、储存化工、农药、油漆、粮油等易燃易爆、有毒有害、易挥发类物质或者国家规定严禁烟火的区域）；</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4</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医疗卫生机构、影剧院、音乐厅、图书馆、展览馆、博物馆、网吧、KTV等人口密集不适宜经营卷烟的公共场所内；</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5</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同一经营地址已申领烟草专卖零售许可证的；</w:t>
      </w:r>
    </w:p>
    <w:p>
      <w:pPr>
        <w:adjustRightInd w:val="0"/>
        <w:snapToGrid w:val="0"/>
        <w:spacing w:line="600" w:lineRule="exact"/>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6</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住宅小区除平层全开放式门店（商用属性）外的其它场所。</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（三）经营模式</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利用自动售货机（柜）</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游戏机销售烟草制品的；</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Times New Roman" w:eastAsia="仿宋_GB2312" w:cs="Times New Roman"/>
          <w:color w:val="auto"/>
          <w:sz w:val="32"/>
          <w:szCs w:val="32"/>
        </w:rPr>
        <w:t>利用信息网络渠道销售烟草制品的；</w:t>
      </w:r>
    </w:p>
    <w:p>
      <w:pPr>
        <w:adjustRightInd w:val="0"/>
        <w:snapToGrid w:val="0"/>
        <w:spacing w:line="600" w:lineRule="exact"/>
        <w:ind w:firstLine="632"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3</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经营场所经实地核查尚未实际开展经营活动的，拒不改正或改正后仍不符合要求的。</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（四）特殊区域</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lang w:eastAsia="zh-CN"/>
        </w:rPr>
        <w:t>城区</w:t>
      </w:r>
      <w:r>
        <w:rPr>
          <w:rFonts w:hint="eastAsia" w:ascii="仿宋_GB2312" w:hAnsi="仿宋" w:eastAsia="仿宋_GB2312" w:cs="仿宋"/>
          <w:color w:val="auto"/>
          <w:kern w:val="0"/>
          <w:sz w:val="32"/>
          <w:szCs w:val="32"/>
          <w:shd w:val="clear" w:color="auto" w:fill="FFFFFF"/>
        </w:rPr>
        <w:t>中小学校校园内及可通行的所有出入口100米以内不予设置零售点，</w:t>
      </w:r>
      <w:r>
        <w:rPr>
          <w:rFonts w:hint="eastAsia" w:ascii="仿宋_GB2312" w:hAnsi="仿宋" w:eastAsia="仿宋_GB2312" w:cs="仿宋"/>
          <w:color w:val="auto"/>
          <w:kern w:val="0"/>
          <w:sz w:val="32"/>
          <w:szCs w:val="32"/>
          <w:shd w:val="clear" w:color="auto" w:fill="FFFFFF"/>
          <w:lang w:eastAsia="zh-CN"/>
        </w:rPr>
        <w:t>城区</w:t>
      </w:r>
      <w:r>
        <w:rPr>
          <w:rFonts w:hint="eastAsia" w:ascii="仿宋_GB2312" w:hAnsi="仿宋" w:eastAsia="仿宋_GB2312" w:cs="仿宋"/>
          <w:color w:val="auto"/>
          <w:kern w:val="0"/>
          <w:sz w:val="32"/>
          <w:szCs w:val="32"/>
          <w:shd w:val="clear" w:color="auto" w:fill="FFFFFF"/>
        </w:rPr>
        <w:t>幼儿园校园内及可通行的所有出入口50米以内不予设置零售点，</w:t>
      </w:r>
      <w:r>
        <w:rPr>
          <w:rFonts w:hint="eastAsia" w:ascii="仿宋_GB2312" w:hAnsi="仿宋" w:eastAsia="仿宋_GB2312" w:cs="仿宋"/>
          <w:color w:val="auto"/>
          <w:kern w:val="0"/>
          <w:sz w:val="32"/>
          <w:szCs w:val="32"/>
          <w:shd w:val="clear" w:color="auto" w:fill="FFFFFF"/>
          <w:lang w:eastAsia="zh-CN"/>
        </w:rPr>
        <w:t>乡镇</w:t>
      </w:r>
      <w:r>
        <w:rPr>
          <w:rFonts w:hint="eastAsia" w:ascii="仿宋_GB2312" w:hAnsi="仿宋" w:eastAsia="仿宋_GB2312" w:cs="仿宋"/>
          <w:color w:val="auto"/>
          <w:kern w:val="0"/>
          <w:sz w:val="32"/>
          <w:szCs w:val="32"/>
          <w:shd w:val="clear" w:color="auto" w:fill="FFFFFF"/>
        </w:rPr>
        <w:t>中小学校校园内及可通行的所有出入口</w:t>
      </w:r>
      <w:r>
        <w:rPr>
          <w:rFonts w:hint="eastAsia" w:ascii="仿宋_GB2312" w:hAnsi="仿宋" w:eastAsia="仿宋_GB2312" w:cs="仿宋"/>
          <w:color w:val="auto"/>
          <w:kern w:val="0"/>
          <w:sz w:val="32"/>
          <w:szCs w:val="32"/>
          <w:shd w:val="clear" w:color="auto" w:fill="FFFFFF"/>
          <w:lang w:val="en-US" w:eastAsia="zh-CN"/>
        </w:rPr>
        <w:t>50</w:t>
      </w:r>
      <w:r>
        <w:rPr>
          <w:rFonts w:hint="eastAsia" w:ascii="仿宋_GB2312" w:hAnsi="仿宋" w:eastAsia="仿宋_GB2312" w:cs="仿宋"/>
          <w:color w:val="auto"/>
          <w:kern w:val="0"/>
          <w:sz w:val="32"/>
          <w:szCs w:val="32"/>
          <w:shd w:val="clear" w:color="auto" w:fill="FFFFFF"/>
        </w:rPr>
        <w:t>米以内不予设置零售点，</w:t>
      </w:r>
      <w:r>
        <w:rPr>
          <w:rFonts w:hint="eastAsia" w:ascii="仿宋_GB2312" w:hAnsi="仿宋" w:eastAsia="仿宋_GB2312" w:cs="仿宋"/>
          <w:color w:val="auto"/>
          <w:kern w:val="0"/>
          <w:sz w:val="32"/>
          <w:szCs w:val="32"/>
          <w:shd w:val="clear" w:color="auto" w:fill="FFFFFF"/>
          <w:lang w:eastAsia="zh-CN"/>
        </w:rPr>
        <w:t>乡镇</w:t>
      </w:r>
      <w:r>
        <w:rPr>
          <w:rFonts w:hint="eastAsia" w:ascii="仿宋_GB2312" w:hAnsi="仿宋" w:eastAsia="仿宋_GB2312" w:cs="仿宋"/>
          <w:color w:val="auto"/>
          <w:kern w:val="0"/>
          <w:sz w:val="32"/>
          <w:szCs w:val="32"/>
          <w:shd w:val="clear" w:color="auto" w:fill="FFFFFF"/>
        </w:rPr>
        <w:t>幼儿园校园内及可通行的所有出入口</w:t>
      </w:r>
      <w:r>
        <w:rPr>
          <w:rFonts w:hint="eastAsia" w:ascii="仿宋_GB2312" w:hAnsi="仿宋" w:eastAsia="仿宋_GB2312" w:cs="仿宋"/>
          <w:color w:val="auto"/>
          <w:kern w:val="0"/>
          <w:sz w:val="32"/>
          <w:szCs w:val="32"/>
          <w:shd w:val="clear" w:color="auto" w:fill="FFFFFF"/>
          <w:lang w:val="en-US" w:eastAsia="zh-CN"/>
        </w:rPr>
        <w:t>3</w:t>
      </w:r>
      <w:r>
        <w:rPr>
          <w:rFonts w:hint="eastAsia" w:ascii="仿宋_GB2312" w:hAnsi="仿宋" w:eastAsia="仿宋_GB2312" w:cs="仿宋"/>
          <w:color w:val="auto"/>
          <w:kern w:val="0"/>
          <w:sz w:val="32"/>
          <w:szCs w:val="32"/>
          <w:shd w:val="clear" w:color="auto" w:fill="FFFFFF"/>
        </w:rPr>
        <w:t>0米以内不予设置零售点；</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青少年培训机构等未成年人聚集场所；</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经营场所位于国家机关、党政机关内部；</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4</w:t>
      </w:r>
      <w:r>
        <w:rPr>
          <w:rFonts w:hint="eastAsia" w:ascii="仿宋_GB2312" w:hAnsi="仿宋" w:eastAsia="仿宋_GB2312" w:cs="仿宋"/>
          <w:color w:val="auto"/>
          <w:kern w:val="0"/>
          <w:sz w:val="32"/>
          <w:szCs w:val="32"/>
          <w:shd w:val="clear" w:color="auto" w:fill="FFFFFF"/>
          <w:lang w:val="en-US" w:eastAsia="zh-CN"/>
        </w:rPr>
        <w:t>.</w:t>
      </w:r>
      <w:r>
        <w:rPr>
          <w:rFonts w:hint="eastAsia" w:ascii="仿宋_GB2312" w:hAnsi="仿宋" w:eastAsia="仿宋_GB2312" w:cs="仿宋"/>
          <w:color w:val="auto"/>
          <w:kern w:val="0"/>
          <w:sz w:val="32"/>
          <w:szCs w:val="32"/>
          <w:shd w:val="clear" w:color="auto" w:fill="FFFFFF"/>
        </w:rPr>
        <w:t>已被政府纳入拆迁规划的。</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（五）法律、法规、规章和国家局、省局及地方政府颁布的规范性文件规定的其他不予办证的情形。</w:t>
      </w:r>
    </w:p>
    <w:p>
      <w:pPr>
        <w:ind w:firstLine="632" w:firstLineChars="200"/>
        <w:rPr>
          <w:rFonts w:hint="eastAsia" w:ascii="仿宋_GB2312" w:hAnsi="仿宋" w:eastAsia="仿宋_GB2312" w:cs="仿宋"/>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rPr>
        <w:t>第二十</w:t>
      </w:r>
      <w:r>
        <w:rPr>
          <w:rFonts w:hint="eastAsia" w:ascii="黑体" w:hAnsi="黑体" w:eastAsia="黑体" w:cs="黑体"/>
          <w:color w:val="auto"/>
          <w:kern w:val="0"/>
          <w:sz w:val="32"/>
          <w:szCs w:val="32"/>
          <w:shd w:val="clear" w:color="auto" w:fill="FFFFFF"/>
          <w:lang w:eastAsia="zh-CN"/>
        </w:rPr>
        <w:t>六</w:t>
      </w:r>
      <w:r>
        <w:rPr>
          <w:rFonts w:hint="eastAsia" w:ascii="黑体" w:hAnsi="黑体" w:eastAsia="黑体" w:cs="黑体"/>
          <w:color w:val="auto"/>
          <w:kern w:val="0"/>
          <w:sz w:val="32"/>
          <w:szCs w:val="32"/>
          <w:shd w:val="clear" w:color="auto" w:fill="FFFFFF"/>
        </w:rPr>
        <w:t>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烟草专卖零售许可准入倾斜性条件设定</w:t>
      </w:r>
      <w:r>
        <w:rPr>
          <w:rFonts w:hint="eastAsia" w:ascii="仿宋_GB2312" w:hAnsi="仿宋" w:eastAsia="仿宋_GB2312" w:cs="仿宋"/>
          <w:color w:val="auto"/>
          <w:kern w:val="0"/>
          <w:sz w:val="32"/>
          <w:szCs w:val="32"/>
          <w:shd w:val="clear" w:color="auto" w:fill="FFFFFF"/>
          <w:lang w:eastAsia="zh-CN"/>
        </w:rPr>
        <w:t>：</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（一）属于下列社会特殊群体，本人首次申领零售许可证的</w:t>
      </w:r>
    </w:p>
    <w:p>
      <w:pPr>
        <w:adjustRightInd w:val="0"/>
        <w:snapToGrid w:val="0"/>
        <w:spacing w:line="600" w:lineRule="exact"/>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可优先受理（需要申请人提供相应证明材料的）</w:t>
      </w:r>
      <w:r>
        <w:rPr>
          <w:rFonts w:hint="eastAsia" w:ascii="仿宋_GB2312" w:hAnsi="仿宋" w:eastAsia="仿宋_GB2312" w:cs="仿宋"/>
          <w:color w:val="auto"/>
          <w:kern w:val="0"/>
          <w:sz w:val="32"/>
          <w:szCs w:val="32"/>
          <w:shd w:val="clear" w:color="auto" w:fill="FFFFFF"/>
          <w:lang w:eastAsia="zh-CN"/>
        </w:rPr>
        <w:t>。</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1.残障人士；</w:t>
      </w:r>
    </w:p>
    <w:p>
      <w:pPr>
        <w:adjustRightInd w:val="0"/>
        <w:snapToGrid w:val="0"/>
        <w:spacing w:line="600" w:lineRule="exact"/>
        <w:ind w:firstLine="632" w:firstLineChars="200"/>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2.军烈属</w:t>
      </w:r>
      <w:r>
        <w:rPr>
          <w:rFonts w:hint="eastAsia" w:ascii="仿宋_GB2312" w:hAnsi="仿宋" w:eastAsia="仿宋_GB2312" w:cs="仿宋"/>
          <w:color w:val="auto"/>
          <w:kern w:val="0"/>
          <w:sz w:val="32"/>
          <w:szCs w:val="32"/>
          <w:shd w:val="clear" w:color="auto" w:fill="FFFFFF"/>
          <w:lang w:eastAsia="zh-CN"/>
        </w:rPr>
        <w:t>。</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（二）因道路规划、城市建设等客观原因，持证人需在原发证机关辖区内重新选点申请办证的，可适当降低合理布局规划距离标准；</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（三）因中小学、幼儿园新建、改造、修订合理布局标准等客观原因造成不符合现行合理布局规定的，持证人需在原发证机关辖区内重新选点申请办证的，可适当降低合理布局规划距离标准；</w:t>
      </w:r>
    </w:p>
    <w:p>
      <w:pPr>
        <w:ind w:firstLine="632" w:firstLineChars="200"/>
        <w:rPr>
          <w:rFonts w:hint="eastAsia"/>
          <w:color w:val="auto"/>
        </w:rPr>
      </w:pPr>
      <w:r>
        <w:rPr>
          <w:rFonts w:hint="eastAsia" w:ascii="仿宋_GB2312" w:hAnsi="仿宋" w:eastAsia="仿宋_GB2312" w:cs="仿宋"/>
          <w:color w:val="auto"/>
          <w:kern w:val="0"/>
          <w:sz w:val="32"/>
          <w:szCs w:val="32"/>
          <w:shd w:val="clear" w:color="auto" w:fill="FFFFFF"/>
        </w:rPr>
        <w:t>（四）驻马店市内拥有品牌连锁直营便利店企业数30家以上且纳入驻马店市政府备案或推荐的，可适当降低合理布局规划距离标准。</w:t>
      </w:r>
    </w:p>
    <w:p>
      <w:pPr>
        <w:jc w:val="center"/>
        <w:rPr>
          <w:rFonts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第四章  附则</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第二十七条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定所指经营场所是指市场主体从事经营活动的营业场所，应当与经营范围相适应，依法取得使用权，具有合法的产权权属、使用功能及法定用途，不属于违法建设、危险建筑、被征收房屋等依法不能用作经营场所的房屋；界定标准是经营场所与住所没有直接连通的门户；凡与经营区域连通的均视为经营场所与仓储场所。</w:t>
      </w:r>
    </w:p>
    <w:p>
      <w:pPr>
        <w:ind w:firstLine="560"/>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第二十八条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 xml:space="preserve">本规定所指的中小学是指以未成年人为教育对象，实施中等和初等教育的学校，包括普通小学、普通中学和其他以未成年人为教育对象的实施中等和初等教育的各类学校，如职业中等专业学校、特殊教育学校、专门学校等。   </w:t>
      </w:r>
      <w:r>
        <w:rPr>
          <w:rFonts w:hint="eastAsia" w:ascii="仿宋" w:hAnsi="仿宋" w:eastAsia="仿宋" w:cs="仿宋"/>
          <w:color w:val="auto"/>
          <w:kern w:val="0"/>
          <w:sz w:val="32"/>
          <w:szCs w:val="32"/>
          <w:shd w:val="clear" w:color="auto" w:fill="FFFFFF"/>
        </w:rPr>
        <w:t xml:space="preserve"> </w:t>
      </w:r>
    </w:p>
    <w:p>
      <w:pPr>
        <w:ind w:firstLine="632" w:firstLineChars="20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第二十九条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测量标准</w:t>
      </w:r>
    </w:p>
    <w:p>
      <w:pPr>
        <w:ind w:firstLine="560"/>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（一）本规划所指“间距”</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是指拟从事烟草制品零售业务经营场所出入口与最近的卷烟零售点经营场所出入口之间的步行最短距离（距离测量时，不得穿越隔离护栏、护墙、花坛、花园等不适合行人通行或者穿越的固定障碍物、建筑物等）。街道中间无隔离护栏的，零售点之间的间距按最短直线距离测量。</w:t>
      </w:r>
      <w:r>
        <w:rPr>
          <w:rFonts w:hint="eastAsia" w:ascii="仿宋_GB2312" w:hAnsi="仿宋" w:eastAsia="仿宋_GB2312" w:cs="仿宋"/>
          <w:color w:val="auto"/>
          <w:kern w:val="0"/>
          <w:sz w:val="32"/>
          <w:szCs w:val="32"/>
          <w:shd w:val="clear" w:color="auto" w:fill="FFFFFF"/>
          <w:lang w:eastAsia="zh-CN"/>
        </w:rPr>
        <w:t>（</w:t>
      </w:r>
      <w:r>
        <w:rPr>
          <w:rFonts w:hint="eastAsia" w:ascii="仿宋_GB2312" w:hAnsi="仿宋" w:eastAsia="仿宋_GB2312" w:cs="仿宋"/>
          <w:color w:val="auto"/>
          <w:kern w:val="0"/>
          <w:sz w:val="32"/>
          <w:szCs w:val="32"/>
          <w:shd w:val="clear" w:color="auto" w:fill="FFFFFF"/>
        </w:rPr>
        <w:t>详见附件</w:t>
      </w:r>
      <w:r>
        <w:rPr>
          <w:rFonts w:hint="eastAsia" w:ascii="仿宋_GB2312" w:hAnsi="仿宋" w:eastAsia="仿宋_GB2312" w:cs="仿宋"/>
          <w:color w:val="auto"/>
          <w:kern w:val="0"/>
          <w:sz w:val="32"/>
          <w:szCs w:val="32"/>
          <w:shd w:val="clear" w:color="auto" w:fill="FFFFFF"/>
          <w:lang w:val="en-US" w:eastAsia="zh-CN"/>
        </w:rPr>
        <w:t>5</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 w:hAnsi="仿宋" w:eastAsia="仿宋" w:cs="仿宋"/>
          <w:color w:val="auto"/>
          <w:sz w:val="32"/>
          <w:szCs w:val="32"/>
        </w:rPr>
        <w:t>烟草制品零售点间距测量办法</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1.涉及</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条及以上间距标准不同的街道，在与相邻零售点测量间距时，以申请零售点所在街道间距标准进行测量。</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2.经营场所位于</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条及以上布局标准不同的区域或街道交汇处的，应同时满足申请所在区域或街道布局标准。</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3.经营场所位于各类综合性（批发）市场、专业市场、贸易市场、对外开放的综合性商贸中心区域内，区域涉及</w:t>
      </w:r>
      <w:r>
        <w:rPr>
          <w:rFonts w:hint="eastAsia" w:ascii="仿宋_GB2312" w:hAnsi="仿宋" w:eastAsia="仿宋_GB2312" w:cs="仿宋"/>
          <w:color w:val="auto"/>
          <w:kern w:val="0"/>
          <w:sz w:val="32"/>
          <w:szCs w:val="32"/>
          <w:shd w:val="clear" w:color="auto" w:fill="FFFFFF"/>
          <w:lang w:val="en-US" w:eastAsia="zh-CN"/>
        </w:rPr>
        <w:t>两</w:t>
      </w:r>
      <w:r>
        <w:rPr>
          <w:rFonts w:hint="eastAsia" w:ascii="仿宋_GB2312" w:hAnsi="仿宋" w:eastAsia="仿宋_GB2312" w:cs="仿宋"/>
          <w:color w:val="auto"/>
          <w:kern w:val="0"/>
          <w:sz w:val="32"/>
          <w:szCs w:val="32"/>
          <w:shd w:val="clear" w:color="auto" w:fill="FFFFFF"/>
        </w:rPr>
        <w:t>条及以上间距标准的，按所在区域最高间距标准执行。</w:t>
      </w:r>
    </w:p>
    <w:p>
      <w:pPr>
        <w:ind w:firstLine="632" w:firstLineChars="200"/>
        <w:rPr>
          <w:rFonts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rPr>
        <w:t>（二）中小学、幼儿园门口零售点的“距离”：是指按照行人不违反交通规定、习惯性行走的最短路径进行测量，其起点和终点分别为中小学、幼儿园出入口与申请场所出入口的最近一侧门边。</w:t>
      </w:r>
    </w:p>
    <w:p>
      <w:pPr>
        <w:ind w:firstLine="560"/>
        <w:rPr>
          <w:rFonts w:ascii="仿宋" w:hAnsi="仿宋" w:eastAsia="仿宋"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第三十条</w:t>
      </w:r>
      <w:r>
        <w:rPr>
          <w:rFonts w:hint="eastAsia" w:ascii="楷体" w:hAnsi="楷体" w:eastAsia="楷体" w:cs="楷体"/>
          <w:color w:val="auto"/>
          <w:kern w:val="0"/>
          <w:sz w:val="32"/>
          <w:szCs w:val="32"/>
          <w:shd w:val="clear" w:color="auto" w:fill="FFFFFF"/>
        </w:rPr>
        <w:t xml:space="preserve"> </w:t>
      </w:r>
      <w:r>
        <w:rPr>
          <w:rFonts w:hint="eastAsia" w:ascii="仿宋" w:hAnsi="仿宋" w:eastAsia="仿宋" w:cs="仿宋"/>
          <w:color w:val="auto"/>
          <w:kern w:val="0"/>
          <w:sz w:val="32"/>
          <w:szCs w:val="32"/>
          <w:shd w:val="clear" w:color="auto" w:fill="FFFFFF"/>
        </w:rPr>
        <w:t>本</w:t>
      </w:r>
      <w:r>
        <w:rPr>
          <w:rFonts w:hint="eastAsia" w:ascii="仿宋_GB2312" w:hAnsi="仿宋" w:eastAsia="仿宋_GB2312" w:cs="仿宋"/>
          <w:color w:val="auto"/>
          <w:kern w:val="0"/>
          <w:sz w:val="32"/>
          <w:szCs w:val="32"/>
          <w:shd w:val="clear" w:color="auto" w:fill="FFFFFF"/>
        </w:rPr>
        <w:t xml:space="preserve">规定所称的“以内”“以上”“不低于”“不得超过”“范围内”均含本数。  </w:t>
      </w:r>
      <w:r>
        <w:rPr>
          <w:rFonts w:hint="eastAsia" w:ascii="仿宋" w:hAnsi="仿宋" w:eastAsia="仿宋" w:cs="仿宋"/>
          <w:color w:val="auto"/>
          <w:kern w:val="0"/>
          <w:sz w:val="32"/>
          <w:szCs w:val="32"/>
          <w:shd w:val="clear" w:color="auto" w:fill="FFFFFF"/>
        </w:rPr>
        <w:t xml:space="preserve">  </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第三十一条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本规定所指营业面积是指营业场所的实际经营面积，不包括独立的办公场所、仓储、车库、公共通道、停车场等。</w:t>
      </w:r>
    </w:p>
    <w:p>
      <w:pPr>
        <w:ind w:firstLine="56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第三十二条</w:t>
      </w:r>
      <w:r>
        <w:rPr>
          <w:rFonts w:hint="eastAsia" w:ascii="仿宋" w:hAnsi="仿宋" w:eastAsia="仿宋" w:cs="仿宋"/>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本规划由</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sz w:val="32"/>
          <w:szCs w:val="32"/>
          <w:lang w:eastAsia="zh-CN"/>
        </w:rPr>
        <w:t>遂平</w:t>
      </w:r>
      <w:r>
        <w:rPr>
          <w:rFonts w:hint="eastAsia" w:ascii="仿宋_GB2312" w:hAnsi="仿宋" w:eastAsia="仿宋_GB2312" w:cs="仿宋"/>
          <w:color w:val="auto"/>
          <w:sz w:val="32"/>
          <w:szCs w:val="32"/>
        </w:rPr>
        <w:t>县</w:t>
      </w:r>
      <w:r>
        <w:rPr>
          <w:rFonts w:hint="eastAsia" w:ascii="仿宋_GB2312" w:hAnsi="仿宋" w:eastAsia="仿宋_GB2312" w:cs="仿宋"/>
          <w:color w:val="auto"/>
          <w:kern w:val="0"/>
          <w:sz w:val="32"/>
          <w:szCs w:val="32"/>
          <w:shd w:val="clear" w:color="auto" w:fill="FFFFFF"/>
        </w:rPr>
        <w:t>烟草专卖局负责解释。</w:t>
      </w:r>
    </w:p>
    <w:p>
      <w:pPr>
        <w:ind w:firstLine="632" w:firstLineChars="200"/>
        <w:rPr>
          <w:rFonts w:ascii="仿宋_GB2312" w:hAnsi="仿宋" w:eastAsia="仿宋_GB2312" w:cs="仿宋"/>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第三十三条</w:t>
      </w:r>
      <w:r>
        <w:rPr>
          <w:rFonts w:hint="eastAsia" w:ascii="楷体" w:hAnsi="楷体" w:eastAsia="楷体" w:cs="楷体"/>
          <w:color w:val="auto"/>
          <w:kern w:val="0"/>
          <w:sz w:val="32"/>
          <w:szCs w:val="32"/>
          <w:shd w:val="clear" w:color="auto" w:fill="FFFFFF"/>
        </w:rPr>
        <w:t xml:space="preserve"> </w:t>
      </w:r>
      <w:r>
        <w:rPr>
          <w:rFonts w:hint="eastAsia" w:ascii="仿宋_GB2312" w:hAnsi="仿宋" w:eastAsia="仿宋_GB2312" w:cs="仿宋"/>
          <w:color w:val="auto"/>
          <w:kern w:val="0"/>
          <w:sz w:val="32"/>
          <w:szCs w:val="32"/>
          <w:shd w:val="clear" w:color="auto" w:fill="FFFFFF"/>
        </w:rPr>
        <w:t>本规划自发布之日起施行。</w:t>
      </w:r>
      <w:bookmarkEnd w:id="0"/>
      <w:bookmarkStart w:id="1" w:name="attache_title"/>
      <w:bookmarkEnd w:id="1"/>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ind w:firstLine="398"/>
        <w:jc w:val="left"/>
        <w:rPr>
          <w:color w:val="auto"/>
        </w:rPr>
      </w:pPr>
    </w:p>
    <w:p>
      <w:pPr>
        <w:pStyle w:val="2"/>
        <w:rPr>
          <w:color w:val="auto"/>
        </w:rPr>
      </w:pPr>
    </w:p>
    <w:tbl>
      <w:tblPr>
        <w:tblStyle w:val="6"/>
        <w:tblW w:w="9015" w:type="dxa"/>
        <w:tblInd w:w="0" w:type="dxa"/>
        <w:tblLayout w:type="fixed"/>
        <w:tblCellMar>
          <w:top w:w="0" w:type="dxa"/>
          <w:left w:w="0" w:type="dxa"/>
          <w:bottom w:w="0" w:type="dxa"/>
          <w:right w:w="0" w:type="dxa"/>
        </w:tblCellMar>
      </w:tblPr>
      <w:tblGrid>
        <w:gridCol w:w="605"/>
        <w:gridCol w:w="1475"/>
        <w:gridCol w:w="3387"/>
        <w:gridCol w:w="1173"/>
        <w:gridCol w:w="854"/>
        <w:gridCol w:w="1311"/>
        <w:gridCol w:w="210"/>
      </w:tblGrid>
      <w:tr>
        <w:tblPrEx>
          <w:tblCellMar>
            <w:top w:w="0" w:type="dxa"/>
            <w:left w:w="0" w:type="dxa"/>
            <w:bottom w:w="0" w:type="dxa"/>
            <w:right w:w="0" w:type="dxa"/>
          </w:tblCellMar>
        </w:tblPrEx>
        <w:trPr>
          <w:gridAfter w:val="1"/>
          <w:wAfter w:w="210" w:type="dxa"/>
          <w:trHeight w:val="405" w:hRule="atLeast"/>
        </w:trPr>
        <w:tc>
          <w:tcPr>
            <w:tcW w:w="8805"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附件</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w:t>
            </w:r>
            <w:r>
              <w:rPr>
                <w:rFonts w:hint="eastAsia" w:ascii="仿宋_GB2312" w:hAnsi="仿宋" w:eastAsia="仿宋_GB2312" w:cs="仿宋"/>
                <w:color w:val="auto"/>
                <w:kern w:val="0"/>
                <w:sz w:val="32"/>
                <w:szCs w:val="32"/>
                <w:shd w:val="clear" w:color="auto" w:fill="FFFFFF"/>
                <w:lang w:eastAsia="zh-CN"/>
              </w:rPr>
              <w:t>《遂平县</w:t>
            </w:r>
            <w:r>
              <w:rPr>
                <w:rFonts w:hint="eastAsia" w:ascii="仿宋_GB2312" w:hAnsi="仿宋" w:eastAsia="仿宋_GB2312" w:cs="仿宋"/>
                <w:color w:val="auto"/>
                <w:kern w:val="0"/>
                <w:sz w:val="32"/>
                <w:szCs w:val="32"/>
                <w:shd w:val="clear" w:color="auto" w:fill="FFFFFF"/>
              </w:rPr>
              <w:t>烟草制品零售点合理布局城区街道规划名录</w:t>
            </w:r>
            <w:r>
              <w:rPr>
                <w:rFonts w:hint="eastAsia" w:ascii="仿宋_GB2312" w:hAnsi="仿宋" w:eastAsia="仿宋_GB2312" w:cs="仿宋"/>
                <w:color w:val="auto"/>
                <w:kern w:val="0"/>
                <w:sz w:val="32"/>
                <w:szCs w:val="32"/>
                <w:shd w:val="clear" w:color="auto" w:fill="FFFFFF"/>
                <w:lang w:eastAsia="zh-CN"/>
              </w:rPr>
              <w:t>》</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序号</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路名</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起止点</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走向</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侧向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街道划分</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建设路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90"/>
                <w:kern w:val="0"/>
                <w:sz w:val="28"/>
                <w:szCs w:val="28"/>
                <w:lang w:eastAsia="zh-CN"/>
              </w:rPr>
              <w:t>东起火车站涵洞西至西关桥</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w:t>
            </w:r>
          </w:p>
          <w:p>
            <w:pPr>
              <w:widowControl/>
              <w:jc w:val="center"/>
              <w:textAlignment w:val="center"/>
              <w:rPr>
                <w:rFonts w:hint="eastAsia" w:ascii="仿宋" w:hAnsi="仿宋" w:eastAsia="仿宋" w:cs="仿宋"/>
                <w:color w:val="auto"/>
                <w:kern w:val="0"/>
                <w:sz w:val="28"/>
                <w:szCs w:val="28"/>
                <w:lang w:val="en-US" w:eastAsia="zh-CN" w:bidi="ar-SA"/>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金山路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南起玉带路北至希望大道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3</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国槐路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东起工人路口西至驿城大道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灈阳大道</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南起勤政路北至</w:t>
            </w:r>
            <w:r>
              <w:rPr>
                <w:rFonts w:hint="eastAsia" w:ascii="仿宋" w:hAnsi="仿宋" w:eastAsia="仿宋" w:cs="仿宋"/>
                <w:color w:val="auto"/>
                <w:sz w:val="28"/>
                <w:szCs w:val="28"/>
                <w:lang w:eastAsia="zh-CN"/>
              </w:rPr>
              <w:t>希望大道</w:t>
            </w:r>
            <w:r>
              <w:rPr>
                <w:rFonts w:hint="eastAsia" w:ascii="仿宋" w:hAnsi="仿宋" w:eastAsia="仿宋" w:cs="仿宋"/>
                <w:color w:val="auto"/>
                <w:kern w:val="0"/>
                <w:sz w:val="28"/>
                <w:szCs w:val="28"/>
                <w:lang w:eastAsia="zh-CN"/>
              </w:rPr>
              <w:t>口</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文化路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南起玉带路北至希望大道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开元路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南起玉带路北至希望大道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南海路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南起嵖岈山路北至国槐路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8</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驿城大道</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南起八里铺北至希望大道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世泽路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南起玉湖公园北至和幸路口</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吴房路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东起灈阳大道西至世泽路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泰安路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东起文化路西至灈阳大道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12</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嵖岈山路</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w w:val="90"/>
                <w:sz w:val="28"/>
                <w:szCs w:val="28"/>
                <w:lang w:eastAsia="zh-CN"/>
              </w:rPr>
              <w:t>东起灈阳大道西至驿城大道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13</w:t>
            </w:r>
          </w:p>
        </w:tc>
        <w:tc>
          <w:tcPr>
            <w:tcW w:w="14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和幸路</w:t>
            </w:r>
          </w:p>
        </w:tc>
        <w:tc>
          <w:tcPr>
            <w:tcW w:w="33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东起人民路西至驿城大道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14</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勤政路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东起富强路西至驿城大道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马神庙街</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东起中学前街西至南海路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中学前街</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南起嵖岈山路北至建设路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17</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富强路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南起</w:t>
            </w:r>
            <w:r>
              <w:rPr>
                <w:rFonts w:hint="eastAsia" w:ascii="仿宋" w:hAnsi="仿宋" w:eastAsia="仿宋" w:cs="仿宋"/>
                <w:color w:val="auto"/>
                <w:kern w:val="0"/>
                <w:sz w:val="28"/>
                <w:szCs w:val="28"/>
                <w:lang w:eastAsia="zh-CN"/>
              </w:rPr>
              <w:t>绿带路</w:t>
            </w:r>
            <w:r>
              <w:rPr>
                <w:rFonts w:hint="eastAsia" w:ascii="仿宋" w:hAnsi="仿宋" w:eastAsia="仿宋" w:cs="仿宋"/>
                <w:color w:val="auto"/>
                <w:kern w:val="0"/>
                <w:sz w:val="28"/>
                <w:szCs w:val="28"/>
                <w:lang w:val="en-US" w:eastAsia="zh-CN"/>
              </w:rPr>
              <w:t>北至希望大道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18</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前进路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南起</w:t>
            </w:r>
            <w:r>
              <w:rPr>
                <w:rFonts w:hint="eastAsia" w:ascii="仿宋" w:hAnsi="仿宋" w:eastAsia="仿宋" w:cs="仿宋"/>
                <w:color w:val="auto"/>
                <w:kern w:val="0"/>
                <w:sz w:val="28"/>
                <w:szCs w:val="28"/>
                <w:lang w:eastAsia="zh-CN"/>
              </w:rPr>
              <w:t>建设路</w:t>
            </w:r>
            <w:r>
              <w:rPr>
                <w:rFonts w:hint="eastAsia" w:ascii="仿宋" w:hAnsi="仿宋" w:eastAsia="仿宋" w:cs="仿宋"/>
                <w:color w:val="auto"/>
                <w:kern w:val="0"/>
                <w:sz w:val="28"/>
                <w:szCs w:val="28"/>
                <w:lang w:val="en-US" w:eastAsia="zh-CN"/>
              </w:rPr>
              <w:t>北至国槐路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希望大道</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东起铁路桥西至</w:t>
            </w:r>
            <w:r>
              <w:rPr>
                <w:rFonts w:hint="eastAsia" w:ascii="仿宋" w:hAnsi="仿宋" w:eastAsia="仿宋" w:cs="仿宋"/>
                <w:color w:val="auto"/>
                <w:w w:val="90"/>
                <w:kern w:val="0"/>
                <w:sz w:val="28"/>
                <w:szCs w:val="28"/>
                <w:lang w:eastAsia="zh-CN"/>
              </w:rPr>
              <w:t>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英华路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南起</w:t>
            </w:r>
            <w:r>
              <w:rPr>
                <w:rFonts w:hint="eastAsia" w:ascii="仿宋" w:hAnsi="仿宋" w:eastAsia="仿宋" w:cs="仿宋"/>
                <w:color w:val="auto"/>
                <w:kern w:val="0"/>
                <w:sz w:val="28"/>
                <w:szCs w:val="28"/>
                <w:lang w:eastAsia="zh-CN"/>
              </w:rPr>
              <w:t>建设路</w:t>
            </w:r>
            <w:r>
              <w:rPr>
                <w:rFonts w:hint="eastAsia" w:ascii="仿宋" w:hAnsi="仿宋" w:eastAsia="仿宋" w:cs="仿宋"/>
                <w:color w:val="auto"/>
                <w:kern w:val="0"/>
                <w:sz w:val="28"/>
                <w:szCs w:val="28"/>
                <w:lang w:val="en-US" w:eastAsia="zh-CN"/>
              </w:rPr>
              <w:t>北至国槐路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21</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遂周路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w:t>
            </w:r>
            <w:r>
              <w:rPr>
                <w:rFonts w:hint="eastAsia" w:ascii="仿宋" w:hAnsi="仿宋" w:eastAsia="仿宋" w:cs="仿宋"/>
                <w:color w:val="auto"/>
                <w:kern w:val="0"/>
                <w:sz w:val="28"/>
                <w:szCs w:val="28"/>
                <w:lang w:eastAsia="zh-CN"/>
              </w:rPr>
              <w:t>工人路</w:t>
            </w:r>
            <w:r>
              <w:rPr>
                <w:rFonts w:hint="eastAsia" w:ascii="仿宋" w:hAnsi="仿宋" w:eastAsia="仿宋" w:cs="仿宋"/>
                <w:color w:val="auto"/>
                <w:kern w:val="0"/>
                <w:sz w:val="28"/>
                <w:szCs w:val="28"/>
                <w:lang w:val="en-US" w:eastAsia="zh-CN"/>
              </w:rPr>
              <w:t>西至驿城大道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22</w:t>
            </w:r>
          </w:p>
          <w:p>
            <w:pPr>
              <w:widowControl/>
              <w:jc w:val="center"/>
              <w:textAlignment w:val="center"/>
              <w:rPr>
                <w:rFonts w:hint="default"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民安路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w:t>
            </w:r>
            <w:r>
              <w:rPr>
                <w:rFonts w:hint="eastAsia" w:ascii="仿宋" w:hAnsi="仿宋" w:eastAsia="仿宋" w:cs="仿宋"/>
                <w:color w:val="auto"/>
                <w:kern w:val="0"/>
                <w:sz w:val="28"/>
                <w:szCs w:val="28"/>
                <w:lang w:eastAsia="zh-CN"/>
              </w:rPr>
              <w:t>金山路</w:t>
            </w:r>
            <w:r>
              <w:rPr>
                <w:rFonts w:hint="eastAsia" w:ascii="仿宋" w:hAnsi="仿宋" w:eastAsia="仿宋" w:cs="仿宋"/>
                <w:color w:val="auto"/>
                <w:kern w:val="0"/>
                <w:sz w:val="28"/>
                <w:szCs w:val="28"/>
                <w:lang w:val="en-US" w:eastAsia="zh-CN"/>
              </w:rPr>
              <w:t>西至开元路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23</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育才路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东起工人路西至</w:t>
            </w:r>
            <w:r>
              <w:rPr>
                <w:rFonts w:hint="eastAsia" w:ascii="仿宋" w:hAnsi="仿宋" w:eastAsia="仿宋" w:cs="仿宋"/>
                <w:color w:val="auto"/>
                <w:kern w:val="0"/>
                <w:sz w:val="28"/>
                <w:szCs w:val="28"/>
                <w:lang w:eastAsia="zh-CN"/>
              </w:rPr>
              <w:t>金山路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bidi="ar-SA"/>
              </w:rPr>
            </w:pPr>
            <w:r>
              <w:rPr>
                <w:rFonts w:hint="eastAsia" w:ascii="仿宋" w:hAnsi="仿宋" w:eastAsia="仿宋" w:cs="仿宋"/>
                <w:color w:val="auto"/>
                <w:w w:val="80"/>
                <w:kern w:val="0"/>
                <w:sz w:val="28"/>
                <w:szCs w:val="28"/>
                <w:lang w:eastAsia="zh-CN"/>
              </w:rPr>
              <w:t>城区繁华路段</w:t>
            </w:r>
            <w:r>
              <w:rPr>
                <w:rFonts w:hint="eastAsia" w:ascii="仿宋" w:hAnsi="仿宋" w:eastAsia="仿宋" w:cs="仿宋"/>
                <w:color w:val="auto"/>
                <w:w w:val="80"/>
                <w:kern w:val="0"/>
                <w:sz w:val="28"/>
                <w:szCs w:val="28"/>
              </w:rPr>
              <w:t>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24</w:t>
            </w:r>
          </w:p>
          <w:p>
            <w:pPr>
              <w:widowControl/>
              <w:jc w:val="center"/>
              <w:textAlignment w:val="center"/>
              <w:rPr>
                <w:rFonts w:hint="default"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工人路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北起</w:t>
            </w:r>
            <w:r>
              <w:rPr>
                <w:rFonts w:hint="eastAsia" w:ascii="仿宋" w:hAnsi="仿宋" w:eastAsia="仿宋" w:cs="仿宋"/>
                <w:color w:val="auto"/>
                <w:kern w:val="0"/>
                <w:sz w:val="28"/>
                <w:szCs w:val="28"/>
                <w:lang w:val="en-US" w:eastAsia="zh-CN"/>
              </w:rPr>
              <w:t>遂周路</w:t>
            </w:r>
            <w:r>
              <w:rPr>
                <w:rFonts w:hint="eastAsia" w:ascii="仿宋" w:hAnsi="仿宋" w:eastAsia="仿宋" w:cs="仿宋"/>
                <w:color w:val="auto"/>
                <w:kern w:val="0"/>
                <w:sz w:val="28"/>
                <w:szCs w:val="28"/>
              </w:rPr>
              <w:t>南至</w:t>
            </w:r>
            <w:r>
              <w:rPr>
                <w:rFonts w:hint="eastAsia" w:ascii="仿宋" w:hAnsi="仿宋" w:eastAsia="仿宋" w:cs="仿宋"/>
                <w:color w:val="auto"/>
                <w:kern w:val="0"/>
                <w:sz w:val="28"/>
                <w:szCs w:val="28"/>
                <w:lang w:val="en-US" w:eastAsia="zh-CN"/>
              </w:rPr>
              <w:t>建设路</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南北</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80"/>
                <w:kern w:val="0"/>
                <w:sz w:val="28"/>
                <w:szCs w:val="28"/>
                <w:lang w:eastAsia="zh-CN"/>
              </w:rPr>
              <w:t>城区</w:t>
            </w:r>
            <w:r>
              <w:rPr>
                <w:rFonts w:hint="eastAsia" w:ascii="仿宋" w:hAnsi="仿宋" w:eastAsia="仿宋" w:cs="仿宋"/>
                <w:color w:val="auto"/>
                <w:w w:val="80"/>
                <w:kern w:val="0"/>
                <w:sz w:val="28"/>
                <w:szCs w:val="28"/>
                <w:lang w:val="en-US" w:eastAsia="zh-CN"/>
              </w:rPr>
              <w:t>一般路段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卫生路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西起</w:t>
            </w:r>
            <w:r>
              <w:rPr>
                <w:rFonts w:hint="eastAsia" w:ascii="仿宋" w:hAnsi="仿宋" w:eastAsia="仿宋" w:cs="仿宋"/>
                <w:color w:val="auto"/>
                <w:kern w:val="0"/>
                <w:sz w:val="28"/>
                <w:szCs w:val="28"/>
                <w:lang w:val="en-US" w:eastAsia="zh-CN"/>
              </w:rPr>
              <w:t>开源路</w:t>
            </w:r>
            <w:r>
              <w:rPr>
                <w:rFonts w:hint="eastAsia" w:ascii="仿宋" w:hAnsi="仿宋" w:eastAsia="仿宋" w:cs="仿宋"/>
                <w:color w:val="auto"/>
                <w:kern w:val="0"/>
                <w:sz w:val="28"/>
                <w:szCs w:val="28"/>
              </w:rPr>
              <w:t>东至</w:t>
            </w:r>
            <w:r>
              <w:rPr>
                <w:rFonts w:hint="eastAsia" w:ascii="仿宋" w:hAnsi="仿宋" w:eastAsia="仿宋" w:cs="仿宋"/>
                <w:color w:val="auto"/>
                <w:kern w:val="0"/>
                <w:sz w:val="28"/>
                <w:szCs w:val="28"/>
                <w:lang w:val="en-US" w:eastAsia="zh-CN"/>
              </w:rPr>
              <w:t>灈阳大道</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80"/>
                <w:kern w:val="0"/>
                <w:sz w:val="28"/>
                <w:szCs w:val="28"/>
                <w:lang w:eastAsia="zh-CN"/>
              </w:rPr>
              <w:t>城区</w:t>
            </w:r>
            <w:r>
              <w:rPr>
                <w:rFonts w:hint="eastAsia" w:ascii="仿宋" w:hAnsi="仿宋" w:eastAsia="仿宋" w:cs="仿宋"/>
                <w:color w:val="auto"/>
                <w:w w:val="80"/>
                <w:kern w:val="0"/>
                <w:sz w:val="28"/>
                <w:szCs w:val="28"/>
                <w:lang w:val="en-US" w:eastAsia="zh-CN"/>
              </w:rPr>
              <w:t>一般路段</w:t>
            </w:r>
            <w:r>
              <w:rPr>
                <w:rFonts w:hint="eastAsia" w:ascii="仿宋" w:hAnsi="仿宋" w:eastAsia="仿宋" w:cs="仿宋"/>
                <w:color w:val="auto"/>
                <w:kern w:val="0"/>
                <w:sz w:val="28"/>
                <w:szCs w:val="28"/>
                <w:lang w:val="en-US" w:eastAsia="zh-CN"/>
              </w:rPr>
              <w:t>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26</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玉带路</w:t>
            </w: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w w:val="90"/>
                <w:kern w:val="0"/>
                <w:sz w:val="28"/>
                <w:szCs w:val="28"/>
                <w:lang w:eastAsia="zh-CN"/>
              </w:rPr>
              <w:t>东起车站桥西至月儿湾大桥</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东西</w:t>
            </w: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eastAsia="zh-CN"/>
              </w:rPr>
              <w:t>双</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w w:val="80"/>
                <w:kern w:val="0"/>
                <w:sz w:val="28"/>
                <w:szCs w:val="28"/>
                <w:lang w:val="en-US" w:eastAsia="zh-CN"/>
              </w:rPr>
            </w:pPr>
            <w:r>
              <w:rPr>
                <w:rFonts w:hint="eastAsia" w:ascii="仿宋" w:hAnsi="仿宋" w:eastAsia="仿宋" w:cs="仿宋"/>
                <w:color w:val="auto"/>
                <w:w w:val="80"/>
                <w:kern w:val="0"/>
                <w:sz w:val="28"/>
                <w:szCs w:val="28"/>
                <w:lang w:eastAsia="zh-CN"/>
              </w:rPr>
              <w:t>城区</w:t>
            </w:r>
            <w:r>
              <w:rPr>
                <w:rFonts w:hint="eastAsia" w:ascii="仿宋" w:hAnsi="仿宋" w:eastAsia="仿宋" w:cs="仿宋"/>
                <w:color w:val="auto"/>
                <w:w w:val="80"/>
                <w:kern w:val="0"/>
                <w:sz w:val="28"/>
                <w:szCs w:val="28"/>
                <w:lang w:val="en-US" w:eastAsia="zh-CN"/>
              </w:rPr>
              <w:t>一般路段</w:t>
            </w: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624" w:hRule="exact"/>
        </w:trPr>
        <w:tc>
          <w:tcPr>
            <w:tcW w:w="6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3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sz w:val="28"/>
                <w:szCs w:val="28"/>
                <w:lang w:eastAsia="zh-CN"/>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eastAsia="zh-CN"/>
              </w:rPr>
            </w:pPr>
          </w:p>
        </w:tc>
      </w:tr>
      <w:tr>
        <w:tblPrEx>
          <w:tblCellMar>
            <w:top w:w="0" w:type="dxa"/>
            <w:left w:w="0" w:type="dxa"/>
            <w:bottom w:w="0" w:type="dxa"/>
            <w:right w:w="0" w:type="dxa"/>
          </w:tblCellMar>
        </w:tblPrEx>
        <w:trPr>
          <w:trHeight w:val="1782" w:hRule="exact"/>
        </w:trPr>
        <w:tc>
          <w:tcPr>
            <w:tcW w:w="9015" w:type="dxa"/>
            <w:gridSpan w:val="7"/>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t>备注：</w:t>
            </w: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lang w:eastAsia="zh-CN"/>
              </w:rPr>
              <w:t>希望大道以南，西关大道、驿城大道以东，玉湖路、勤政路以北，铁路道口以西等上述路段所围区域内视为城区，含上述道路两侧；</w:t>
            </w:r>
            <w:r>
              <w:rPr>
                <w:rFonts w:hint="eastAsia" w:ascii="仿宋" w:hAnsi="仿宋" w:eastAsia="仿宋" w:cs="仿宋"/>
                <w:color w:val="auto"/>
                <w:kern w:val="0"/>
                <w:sz w:val="24"/>
                <w:szCs w:val="24"/>
                <w:lang w:val="en-US" w:eastAsia="zh-CN"/>
              </w:rPr>
              <w:t>2、上述未列明的城区内其他路段按城区一般路段执行；3、没有列入名</w:t>
            </w:r>
            <w:r>
              <w:rPr>
                <w:rFonts w:hint="eastAsia" w:ascii="仿宋" w:hAnsi="仿宋" w:eastAsia="仿宋" w:cs="仿宋"/>
                <w:color w:val="auto"/>
                <w:kern w:val="0"/>
                <w:sz w:val="24"/>
                <w:szCs w:val="24"/>
                <w:lang w:eastAsia="zh-CN"/>
              </w:rPr>
              <w:t>录的新路段及无名路段按城区一般路段标准执行；</w:t>
            </w:r>
            <w:r>
              <w:rPr>
                <w:rFonts w:hint="eastAsia" w:ascii="仿宋" w:hAnsi="仿宋" w:eastAsia="仿宋" w:cs="仿宋"/>
                <w:color w:val="auto"/>
                <w:kern w:val="0"/>
                <w:sz w:val="24"/>
                <w:szCs w:val="24"/>
                <w:lang w:val="en-US" w:eastAsia="zh-CN"/>
              </w:rPr>
              <w:t>4、未尽之处归遂平县烟草专卖局解释。</w:t>
            </w:r>
          </w:p>
        </w:tc>
      </w:tr>
    </w:tbl>
    <w:p>
      <w:pPr>
        <w:pStyle w:val="2"/>
        <w:rPr>
          <w:color w:val="auto"/>
        </w:rPr>
      </w:pPr>
    </w:p>
    <w:tbl>
      <w:tblPr>
        <w:tblStyle w:val="6"/>
        <w:tblpPr w:leftFromText="180" w:rightFromText="180" w:vertAnchor="text" w:horzAnchor="page" w:tblpX="1421" w:tblpY="20"/>
        <w:tblOverlap w:val="never"/>
        <w:tblW w:w="5000" w:type="pct"/>
        <w:tblInd w:w="0" w:type="dxa"/>
        <w:tblLayout w:type="fixed"/>
        <w:tblCellMar>
          <w:top w:w="0" w:type="dxa"/>
          <w:left w:w="0" w:type="dxa"/>
          <w:bottom w:w="0" w:type="dxa"/>
          <w:right w:w="0" w:type="dxa"/>
        </w:tblCellMar>
      </w:tblPr>
      <w:tblGrid>
        <w:gridCol w:w="1399"/>
        <w:gridCol w:w="4396"/>
        <w:gridCol w:w="3079"/>
      </w:tblGrid>
      <w:tr>
        <w:tblPrEx>
          <w:tblCellMar>
            <w:top w:w="0" w:type="dxa"/>
            <w:left w:w="0" w:type="dxa"/>
            <w:bottom w:w="0" w:type="dxa"/>
            <w:right w:w="0" w:type="dxa"/>
          </w:tblCellMar>
        </w:tblPrEx>
        <w:trPr>
          <w:trHeight w:val="97"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仿宋"/>
                <w:sz w:val="32"/>
                <w:szCs w:val="32"/>
              </w:rPr>
            </w:pPr>
            <w:r>
              <w:rPr>
                <w:rFonts w:hint="eastAsia" w:ascii="仿宋_GB2312" w:hAnsi="仿宋" w:eastAsia="仿宋_GB2312" w:cs="仿宋"/>
                <w:kern w:val="0"/>
                <w:sz w:val="32"/>
                <w:szCs w:val="32"/>
              </w:rPr>
              <w:t>附件</w:t>
            </w:r>
            <w:r>
              <w:rPr>
                <w:rFonts w:hint="eastAsia" w:ascii="仿宋_GB2312" w:hAnsi="仿宋" w:eastAsia="仿宋_GB2312" w:cs="仿宋"/>
                <w:kern w:val="0"/>
                <w:sz w:val="32"/>
                <w:szCs w:val="32"/>
                <w:lang w:val="en-US" w:eastAsia="zh-CN"/>
              </w:rPr>
              <w:t>2</w:t>
            </w:r>
            <w:r>
              <w:rPr>
                <w:rFonts w:hint="eastAsia" w:ascii="仿宋_GB2312" w:hAnsi="仿宋" w:eastAsia="仿宋_GB2312" w:cs="仿宋"/>
                <w:kern w:val="0"/>
                <w:sz w:val="32"/>
                <w:szCs w:val="32"/>
              </w:rPr>
              <w:t>：《</w:t>
            </w:r>
            <w:r>
              <w:rPr>
                <w:rFonts w:hint="eastAsia" w:ascii="仿宋_GB2312" w:hAnsi="仿宋" w:eastAsia="仿宋_GB2312" w:cs="仿宋"/>
                <w:color w:val="auto"/>
                <w:kern w:val="0"/>
                <w:sz w:val="32"/>
                <w:szCs w:val="32"/>
                <w:shd w:val="clear" w:color="auto" w:fill="FFFFFF"/>
                <w:lang w:val="en-US"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烟草制品零售点合理布局农村集镇规划名录</w:t>
            </w:r>
            <w:r>
              <w:rPr>
                <w:rFonts w:hint="eastAsia" w:ascii="仿宋_GB2312" w:hAnsi="仿宋" w:eastAsia="仿宋_GB2312" w:cs="仿宋"/>
                <w:kern w:val="0"/>
                <w:sz w:val="32"/>
                <w:szCs w:val="32"/>
              </w:rPr>
              <w:t>》</w:t>
            </w:r>
          </w:p>
        </w:tc>
      </w:tr>
      <w:tr>
        <w:tblPrEx>
          <w:tblCellMar>
            <w:top w:w="0" w:type="dxa"/>
            <w:left w:w="0" w:type="dxa"/>
            <w:bottom w:w="0" w:type="dxa"/>
            <w:right w:w="0" w:type="dxa"/>
          </w:tblCellMar>
        </w:tblPrEx>
        <w:trPr>
          <w:cantSplit/>
          <w:trHeight w:val="567" w:hRule="exact"/>
        </w:trPr>
        <w:tc>
          <w:tcPr>
            <w:tcW w:w="788" w:type="pc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序号</w:t>
            </w:r>
          </w:p>
        </w:tc>
        <w:tc>
          <w:tcPr>
            <w:tcW w:w="2476" w:type="pc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乡镇名称、集贸名称</w:t>
            </w:r>
          </w:p>
        </w:tc>
        <w:tc>
          <w:tcPr>
            <w:tcW w:w="1734" w:type="pct"/>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现有零售户户数</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玉山镇玉山街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29</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褚堂街道办事处褚堂街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阳丰镇阳丰街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24</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常庄</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常庄</w:t>
            </w:r>
            <w:r>
              <w:rPr>
                <w:rFonts w:hint="eastAsia" w:ascii="仿宋" w:hAnsi="仿宋" w:eastAsia="仿宋" w:cs="仿宋"/>
                <w:color w:val="auto"/>
                <w:kern w:val="0"/>
                <w:sz w:val="28"/>
                <w:szCs w:val="28"/>
                <w:lang w:eastAsia="zh-CN"/>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14</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5</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石寨铺</w:t>
            </w:r>
            <w:r>
              <w:rPr>
                <w:rFonts w:hint="eastAsia" w:ascii="仿宋" w:hAnsi="仿宋" w:eastAsia="仿宋" w:cs="仿宋"/>
                <w:color w:val="auto"/>
                <w:kern w:val="0"/>
                <w:sz w:val="28"/>
                <w:szCs w:val="28"/>
                <w:lang w:eastAsia="zh-CN"/>
              </w:rPr>
              <w:t>镇</w:t>
            </w:r>
            <w:r>
              <w:rPr>
                <w:rFonts w:hint="eastAsia" w:ascii="仿宋" w:hAnsi="仿宋" w:eastAsia="仿宋" w:cs="仿宋"/>
                <w:color w:val="auto"/>
                <w:kern w:val="0"/>
                <w:sz w:val="28"/>
                <w:szCs w:val="28"/>
              </w:rPr>
              <w:t>石寨铺</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6</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嵖岈山镇嵖岈山</w:t>
            </w:r>
            <w:r>
              <w:rPr>
                <w:rFonts w:hint="eastAsia" w:ascii="仿宋" w:hAnsi="仿宋" w:eastAsia="仿宋" w:cs="仿宋"/>
                <w:color w:val="auto"/>
                <w:kern w:val="0"/>
                <w:sz w:val="28"/>
                <w:szCs w:val="28"/>
                <w:lang w:eastAsia="zh-CN"/>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7</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槐树乡槐树</w:t>
            </w:r>
            <w:r>
              <w:rPr>
                <w:rFonts w:hint="eastAsia" w:ascii="仿宋" w:hAnsi="仿宋" w:eastAsia="仿宋" w:cs="仿宋"/>
                <w:color w:val="auto"/>
                <w:kern w:val="0"/>
                <w:sz w:val="28"/>
                <w:szCs w:val="28"/>
                <w:lang w:eastAsia="zh-CN"/>
              </w:rPr>
              <w:t>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13</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8</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i w:val="0"/>
                <w:iCs w:val="0"/>
                <w:color w:val="auto"/>
                <w:kern w:val="0"/>
                <w:sz w:val="28"/>
                <w:szCs w:val="28"/>
                <w:u w:val="none"/>
                <w:lang w:val="en-US" w:eastAsia="zh-CN" w:bidi="ar"/>
              </w:rPr>
              <w:t>花庄镇花庄街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i w:val="0"/>
                <w:iCs w:val="0"/>
                <w:color w:val="auto"/>
                <w:kern w:val="0"/>
                <w:sz w:val="28"/>
                <w:szCs w:val="28"/>
                <w:u w:val="none"/>
                <w:lang w:val="en-US" w:eastAsia="zh-CN" w:bidi="ar"/>
              </w:rPr>
              <w:t>16</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9</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i w:val="0"/>
                <w:iCs w:val="0"/>
                <w:color w:val="auto"/>
                <w:kern w:val="0"/>
                <w:sz w:val="28"/>
                <w:szCs w:val="28"/>
                <w:u w:val="none"/>
                <w:lang w:val="en-US" w:eastAsia="zh-CN" w:bidi="ar"/>
              </w:rPr>
              <w:t>文城乡文城街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17</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10</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和兴镇和兴街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19</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11</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i w:val="0"/>
                <w:iCs w:val="0"/>
                <w:color w:val="auto"/>
                <w:kern w:val="2"/>
                <w:sz w:val="28"/>
                <w:szCs w:val="28"/>
                <w:u w:val="none"/>
                <w:lang w:val="en-US" w:eastAsia="zh-CN" w:bidi="ar-SA"/>
              </w:rPr>
              <w:t>沈寨镇沈寨街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29</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12</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车站街道办事处车站街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8</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13</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rPr>
              <w:t>嵖岈山风景区管委会</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bidi="ar-SA"/>
              </w:rPr>
              <w:t>13</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14</w:t>
            </w: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auto"/>
                <w:kern w:val="0"/>
                <w:sz w:val="28"/>
                <w:szCs w:val="28"/>
                <w:lang w:val="en-US" w:eastAsia="zh-CN"/>
              </w:rPr>
              <w:t>凤鸣谷风景区管委会张台街</w:t>
            </w: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color w:val="auto"/>
                <w:kern w:val="0"/>
                <w:sz w:val="28"/>
                <w:szCs w:val="28"/>
                <w:lang w:val="en-US" w:eastAsia="zh-CN" w:bidi="ar-SA"/>
              </w:rPr>
            </w:pPr>
            <w:r>
              <w:rPr>
                <w:rFonts w:hint="eastAsia" w:ascii="仿宋" w:hAnsi="仿宋" w:eastAsia="仿宋" w:cs="仿宋"/>
                <w:color w:val="auto"/>
                <w:kern w:val="0"/>
                <w:sz w:val="28"/>
                <w:szCs w:val="28"/>
                <w:lang w:val="en-US" w:eastAsia="zh-CN"/>
              </w:rPr>
              <w:t>23</w:t>
            </w: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567" w:hRule="exact"/>
        </w:trPr>
        <w:tc>
          <w:tcPr>
            <w:tcW w:w="788" w:type="pct"/>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nil"/>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567" w:hRule="exact"/>
        </w:trPr>
        <w:tc>
          <w:tcPr>
            <w:tcW w:w="788" w:type="pct"/>
            <w:tcBorders>
              <w:top w:val="single" w:color="auto" w:sz="4" w:space="0"/>
              <w:left w:val="single" w:color="auto" w:sz="4" w:space="0"/>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2476" w:type="pct"/>
            <w:tcBorders>
              <w:top w:val="single" w:color="auto" w:sz="4" w:space="0"/>
              <w:left w:val="nil"/>
              <w:bottom w:val="single" w:color="auto" w:sz="4"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c>
          <w:tcPr>
            <w:tcW w:w="1734"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8"/>
                <w:szCs w:val="28"/>
              </w:rPr>
            </w:pPr>
          </w:p>
        </w:tc>
      </w:tr>
      <w:tr>
        <w:tblPrEx>
          <w:tblCellMar>
            <w:top w:w="0" w:type="dxa"/>
            <w:left w:w="0" w:type="dxa"/>
            <w:bottom w:w="0" w:type="dxa"/>
            <w:right w:w="0" w:type="dxa"/>
          </w:tblCellMar>
        </w:tblPrEx>
        <w:trPr>
          <w:cantSplit/>
          <w:trHeight w:val="1114" w:hRule="exact"/>
        </w:trPr>
        <w:tc>
          <w:tcPr>
            <w:tcW w:w="5000" w:type="pct"/>
            <w:gridSpan w:val="3"/>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8"/>
                <w:szCs w:val="28"/>
              </w:rPr>
            </w:pPr>
            <w:r>
              <w:rPr>
                <w:rFonts w:hint="eastAsia" w:ascii="仿宋" w:hAnsi="仿宋" w:eastAsia="仿宋" w:cs="仿宋"/>
                <w:color w:val="000000"/>
                <w:kern w:val="0"/>
                <w:sz w:val="24"/>
                <w:szCs w:val="24"/>
              </w:rPr>
              <w:t>备注： 卷烟零售户户数以申请人申请时实际正常经营户数为准</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未尽之处归遂平县烟草专卖局解释。</w:t>
            </w:r>
          </w:p>
        </w:tc>
      </w:tr>
    </w:tbl>
    <w:p>
      <w:pP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_GB2312" w:hAnsi="仿宋" w:eastAsia="仿宋_GB2312"/>
          <w:color w:val="auto"/>
          <w:sz w:val="32"/>
          <w:szCs w:val="32"/>
        </w:rPr>
        <w:t>烟草制品零售点合理布局行政村规划名录</w:t>
      </w:r>
      <w:r>
        <w:rPr>
          <w:rFonts w:hint="eastAsia" w:ascii="仿宋_GB2312" w:hAnsi="宋体" w:eastAsia="仿宋_GB2312" w:cs="宋体"/>
          <w:color w:val="000000"/>
          <w:kern w:val="0"/>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3165"/>
        <w:gridCol w:w="1755"/>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9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lang w:eastAsia="zh-CN"/>
              </w:rPr>
              <w:t>序号</w:t>
            </w:r>
          </w:p>
        </w:tc>
        <w:tc>
          <w:tcPr>
            <w:tcW w:w="316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乡镇</w:t>
            </w:r>
          </w:p>
        </w:tc>
        <w:tc>
          <w:tcPr>
            <w:tcW w:w="175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行政村名</w:t>
            </w:r>
          </w:p>
        </w:tc>
        <w:tc>
          <w:tcPr>
            <w:tcW w:w="2507"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ind w:left="0" w:right="0"/>
              <w:jc w:val="center"/>
              <w:textAlignment w:val="center"/>
              <w:rPr>
                <w:rFonts w:hint="eastAsia" w:ascii="仿宋" w:hAnsi="仿宋" w:eastAsia="仿宋" w:cs="仿宋"/>
                <w:color w:val="000000"/>
                <w:kern w:val="0"/>
                <w:sz w:val="28"/>
                <w:szCs w:val="28"/>
                <w:lang w:val="en-US" w:eastAsia="zh-CN" w:bidi="ar-SA"/>
              </w:rPr>
            </w:pPr>
            <w:r>
              <w:rPr>
                <w:rFonts w:hint="eastAsia" w:ascii="仿宋" w:hAnsi="仿宋" w:eastAsia="仿宋" w:cs="仿宋"/>
                <w:color w:val="000000"/>
                <w:kern w:val="0"/>
                <w:sz w:val="28"/>
                <w:szCs w:val="28"/>
              </w:rPr>
              <w:t>行政村零售</w:t>
            </w:r>
            <w:r>
              <w:rPr>
                <w:rFonts w:hint="eastAsia" w:ascii="仿宋" w:hAnsi="仿宋" w:eastAsia="仿宋" w:cs="仿宋"/>
                <w:color w:val="000000"/>
                <w:kern w:val="0"/>
                <w:sz w:val="28"/>
                <w:szCs w:val="28"/>
                <w:lang w:eastAsia="zh-CN"/>
              </w:rPr>
              <w:t>户</w:t>
            </w:r>
            <w:r>
              <w:rPr>
                <w:rFonts w:hint="eastAsia" w:ascii="仿宋" w:hAnsi="仿宋" w:eastAsia="仿宋" w:cs="仿宋"/>
                <w:color w:val="000000"/>
                <w:kern w:val="0"/>
                <w:sz w:val="28"/>
                <w:szCs w:val="2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悦庄村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吴庄村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王悦村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贾庄村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高竹园村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初徐村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玉山镇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柴庄村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朱屯村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邢桥村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西刘庄村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索店村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阳丰镇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罗列村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吴庄村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魏湾村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王楼村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王来宾村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上仓村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前李村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前湖村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马庄村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马楼村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靳庄村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黄西河村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lang w:eastAsia="zh-CN"/>
              </w:rPr>
              <w:t>文城乡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东营村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张湾村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闫桥村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万庄村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彭庄村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柳庄村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李集村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黄金庙村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石寨铺镇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大金庄村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砖桥村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郑湾村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赵老庄村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张赵庄村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远城村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徐庄村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小寨村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吴楼村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魏庄村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田堂村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双楼村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神沟庙村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三里桥村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罗池坑村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雷王庙村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岗赵村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杨楼村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薛庄村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沈寨镇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刘阁村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张吴楼村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袁庄村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吴岗村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胜桥村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罗庄村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柳树庄村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李兴楼村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霍庄村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高楼村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槐树乡</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长寺村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小营村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下阳村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五车牛村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流水店村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古泉山村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高魏楼村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邓庄村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花庄镇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胡楼村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钟庄村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赵陈村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张庄村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张店村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席庄村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吴阁村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孙庄村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青石桥村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藕花村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刘桥村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刘店村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李庄村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李屯村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金刘村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火龙庙村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后楼村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恒兴村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大牛村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大刘庄村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程台村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和兴镇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草庙村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凤鸣谷风景区管委会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栗园村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凤鸣谷风景区管委会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李尧村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凤鸣谷风景区管委会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火石山村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周楼村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于楼村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屈庄村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沟南刘村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岗关庄村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马庄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岗官庄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119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褚堂街道办事处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八里刘</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王陈村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施庄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潘庄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马庄村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刘虎庄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焦庄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郭庄村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高集村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付庄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党庄</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八里铺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王老庄社区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三官庙社区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罗子张社区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付庄社区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车站街道办事处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八里杨社区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徐楼村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吴集村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三里朱村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任庄村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圈子王村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前王庄村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龙泉村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胡赵庄村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杜赵村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大兴村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大王庄村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大王台村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149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蔡岗村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常庄镇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边子张村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竹园村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周楼村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赵庄村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杨店村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156</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魏楼村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157</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土山村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158</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韩楼村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159</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海眼村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160</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大里王村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161</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窗户台村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162</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常韩村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163</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嵖岈山镇</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包庄村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164</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嵖岈山风景区管委会</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潘赵村</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165</w:t>
            </w:r>
          </w:p>
        </w:tc>
        <w:tc>
          <w:tcPr>
            <w:tcW w:w="31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灈阳街道办事处</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徐店社区</w:t>
            </w:r>
          </w:p>
        </w:tc>
        <w:tc>
          <w:tcPr>
            <w:tcW w:w="25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20" w:lineRule="exact"/>
              <w:ind w:left="0" w:right="0"/>
              <w:jc w:val="center"/>
              <w:textAlignment w:val="auto"/>
              <w:rPr>
                <w:rFonts w:hint="eastAsia" w:ascii="仿宋" w:hAnsi="仿宋" w:eastAsia="仿宋" w:cs="Calibri"/>
                <w:color w:val="000000"/>
                <w:kern w:val="2"/>
                <w:sz w:val="28"/>
                <w:szCs w:val="28"/>
                <w:lang w:val="en-US" w:eastAsia="zh-CN" w:bidi="ar-SA"/>
              </w:rPr>
            </w:pPr>
            <w:r>
              <w:rPr>
                <w:rFonts w:hint="eastAsia" w:ascii="仿宋" w:hAnsi="仿宋" w:eastAsia="仿宋"/>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8522" w:type="dxa"/>
            <w:gridSpan w:val="4"/>
          </w:tcPr>
          <w:p>
            <w:pPr>
              <w:keepNext w:val="0"/>
              <w:keepLines w:val="0"/>
              <w:widowControl/>
              <w:suppressLineNumbers w:val="0"/>
              <w:spacing w:before="0" w:beforeAutospacing="0" w:after="0" w:afterAutospacing="0"/>
              <w:ind w:left="0" w:right="0"/>
              <w:jc w:val="both"/>
              <w:textAlignment w:val="center"/>
              <w:rPr>
                <w:rFonts w:hint="eastAsia" w:ascii="仿宋_GB2312" w:hAnsi="宋体" w:eastAsia="仿宋_GB2312" w:cs="宋体"/>
                <w:color w:val="000000"/>
                <w:kern w:val="0"/>
                <w:sz w:val="32"/>
                <w:szCs w:val="32"/>
                <w:vertAlign w:val="baseline"/>
              </w:rPr>
            </w:pPr>
            <w:r>
              <w:rPr>
                <w:rFonts w:hint="eastAsia" w:ascii="仿宋" w:hAnsi="仿宋" w:eastAsia="仿宋" w:cs="仿宋"/>
                <w:color w:val="000000"/>
                <w:kern w:val="0"/>
                <w:sz w:val="24"/>
                <w:szCs w:val="24"/>
              </w:rPr>
              <w:t>备注：</w:t>
            </w:r>
            <w:r>
              <w:rPr>
                <w:rFonts w:hint="eastAsia" w:ascii="仿宋" w:hAnsi="仿宋" w:eastAsia="仿宋" w:cs="仿宋"/>
                <w:i w:val="0"/>
                <w:iCs w:val="0"/>
                <w:color w:val="000000"/>
                <w:kern w:val="0"/>
                <w:sz w:val="24"/>
                <w:szCs w:val="24"/>
                <w:u w:val="none"/>
                <w:lang w:val="en-US" w:eastAsia="zh-CN" w:bidi="ar"/>
              </w:rPr>
              <w:t>行政村名字和数量以统计部门统计数据为准；行政村卷烟零售数以申请人申请时实际正常经营数为准；行政村属乡镇（集贸）的，按乡镇（集贸）区域统计；未尽之处归遂平县烟草专卖局解释。</w:t>
            </w:r>
          </w:p>
        </w:tc>
      </w:tr>
    </w:tbl>
    <w:p>
      <w:pPr>
        <w:rPr>
          <w:rFonts w:hint="eastAsia" w:ascii="仿宋_GB2312" w:hAnsi="宋体" w:eastAsia="仿宋_GB2312" w:cs="宋体"/>
          <w:color w:val="000000"/>
          <w:kern w:val="0"/>
          <w:sz w:val="32"/>
          <w:szCs w:val="32"/>
        </w:rPr>
      </w:pPr>
    </w:p>
    <w:p>
      <w:pPr>
        <w:pStyle w:val="2"/>
        <w:rPr>
          <w:color w:val="auto"/>
        </w:rPr>
      </w:pPr>
    </w:p>
    <w:p>
      <w:pPr>
        <w:pStyle w:val="2"/>
        <w:rPr>
          <w:color w:val="auto"/>
        </w:rPr>
      </w:pPr>
    </w:p>
    <w:p>
      <w:pPr>
        <w:pStyle w:val="2"/>
        <w:rPr>
          <w:color w:val="auto"/>
        </w:rPr>
      </w:pPr>
    </w:p>
    <w:tbl>
      <w:tblPr>
        <w:tblStyle w:val="6"/>
        <w:tblW w:w="4819" w:type="pct"/>
        <w:tblInd w:w="0" w:type="dxa"/>
        <w:tblLayout w:type="fixed"/>
        <w:tblCellMar>
          <w:top w:w="0" w:type="dxa"/>
          <w:left w:w="0" w:type="dxa"/>
          <w:bottom w:w="0" w:type="dxa"/>
          <w:right w:w="0" w:type="dxa"/>
        </w:tblCellMar>
      </w:tblPr>
      <w:tblGrid>
        <w:gridCol w:w="1465"/>
        <w:gridCol w:w="3854"/>
        <w:gridCol w:w="3234"/>
      </w:tblGrid>
      <w:tr>
        <w:tblPrEx>
          <w:tblCellMar>
            <w:top w:w="0" w:type="dxa"/>
            <w:left w:w="0" w:type="dxa"/>
            <w:bottom w:w="0" w:type="dxa"/>
            <w:right w:w="0" w:type="dxa"/>
          </w:tblCellMar>
        </w:tblPrEx>
        <w:trPr>
          <w:trHeight w:val="726"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县烟草制品零售点合理布局特殊区域规划名录</w:t>
            </w:r>
            <w:r>
              <w:rPr>
                <w:rFonts w:hint="eastAsia" w:ascii="仿宋_GB2312" w:hAnsi="宋体" w:eastAsia="仿宋_GB2312" w:cs="宋体"/>
                <w:color w:val="000000"/>
                <w:kern w:val="0"/>
                <w:sz w:val="32"/>
                <w:szCs w:val="32"/>
              </w:rPr>
              <w:t>》</w:t>
            </w:r>
          </w:p>
        </w:tc>
      </w:tr>
      <w:tr>
        <w:tblPrEx>
          <w:tblCellMar>
            <w:top w:w="0" w:type="dxa"/>
            <w:left w:w="0" w:type="dxa"/>
            <w:bottom w:w="0" w:type="dxa"/>
            <w:right w:w="0" w:type="dxa"/>
          </w:tblCellMar>
        </w:tblPrEx>
        <w:trPr>
          <w:trHeight w:val="732" w:hRule="atLeast"/>
        </w:trPr>
        <w:tc>
          <w:tcPr>
            <w:tcW w:w="85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序号</w:t>
            </w:r>
          </w:p>
        </w:tc>
        <w:tc>
          <w:tcPr>
            <w:tcW w:w="2252"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特殊区域名称</w:t>
            </w:r>
          </w:p>
        </w:tc>
        <w:tc>
          <w:tcPr>
            <w:tcW w:w="189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现有零售户户数</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1</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eastAsia="zh-CN"/>
                <w14:textFill>
                  <w14:solidFill>
                    <w14:schemeClr w14:val="tx1"/>
                  </w14:solidFill>
                </w14:textFill>
              </w:rPr>
              <w:t>遂平县火车站</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2</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eastAsia="zh-CN"/>
                <w14:textFill>
                  <w14:solidFill>
                    <w14:schemeClr w14:val="tx1"/>
                  </w14:solidFill>
                </w14:textFill>
              </w:rPr>
              <w:t>工业园区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4</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3</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嵖岈山景区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3</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4</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凤鸣谷风景区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1</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5</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eastAsia="zh-CN"/>
                <w14:textFill>
                  <w14:solidFill>
                    <w14:schemeClr w14:val="tx1"/>
                  </w14:solidFill>
                </w14:textFill>
              </w:rPr>
              <w:t>水果市场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6</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eastAsia="zh-CN"/>
                <w14:textFill>
                  <w14:solidFill>
                    <w14:schemeClr w14:val="tx1"/>
                  </w14:solidFill>
                </w14:textFill>
              </w:rPr>
              <w:t>小吃市场</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7</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eastAsia="zh-CN"/>
                <w14:textFill>
                  <w14:solidFill>
                    <w14:schemeClr w14:val="tx1"/>
                  </w14:solidFill>
                </w14:textFill>
              </w:rPr>
              <w:t>遂平县嵖岈山商贸城</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8</w:t>
            </w: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eastAsia="zh-CN"/>
                <w14:textFill>
                  <w14:solidFill>
                    <w14:schemeClr w14:val="tx1"/>
                  </w14:solidFill>
                </w14:textFill>
              </w:rPr>
              <w:t>拘留所</w:t>
            </w: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spacing w:line="480" w:lineRule="exact"/>
              <w:jc w:val="center"/>
              <w:rPr>
                <w:rFonts w:hint="eastAsia" w:ascii="仿宋_GB2312" w:hAnsi="仿宋" w:eastAsia="仿宋_GB2312"/>
                <w:color w:val="000000" w:themeColor="text1"/>
                <w:kern w:val="0"/>
                <w:sz w:val="28"/>
                <w:szCs w:val="28"/>
                <w:lang w:val="en-US" w:eastAsia="zh-CN"/>
                <w14:textFill>
                  <w14:solidFill>
                    <w14:schemeClr w14:val="tx1"/>
                  </w14:solidFill>
                </w14:textFill>
              </w:rPr>
            </w:pPr>
            <w:r>
              <w:rPr>
                <w:rFonts w:hint="eastAsia" w:ascii="仿宋_GB2312" w:hAnsi="仿宋" w:eastAsia="仿宋_GB2312"/>
                <w:color w:val="000000" w:themeColor="text1"/>
                <w:kern w:val="0"/>
                <w:sz w:val="28"/>
                <w:szCs w:val="28"/>
                <w:lang w:val="en-US" w:eastAsia="zh-CN"/>
                <w14:textFill>
                  <w14:solidFill>
                    <w14:schemeClr w14:val="tx1"/>
                  </w14:solidFill>
                </w14:textFill>
              </w:rPr>
              <w:t>0</w:t>
            </w: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sz w:val="28"/>
                <w:szCs w:val="28"/>
              </w:rPr>
            </w:pP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p>
        </w:tc>
      </w:tr>
      <w:tr>
        <w:tblPrEx>
          <w:tblCellMar>
            <w:top w:w="0" w:type="dxa"/>
            <w:left w:w="0" w:type="dxa"/>
            <w:bottom w:w="0" w:type="dxa"/>
            <w:right w:w="0" w:type="dxa"/>
          </w:tblCellMar>
        </w:tblPrEx>
        <w:trPr>
          <w:trHeight w:val="716" w:hRule="atLeast"/>
        </w:trPr>
        <w:tc>
          <w:tcPr>
            <w:tcW w:w="856" w:type="pct"/>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sz w:val="28"/>
                <w:szCs w:val="28"/>
                <w:lang w:val="en-US" w:eastAsia="zh-CN"/>
              </w:rPr>
            </w:pPr>
          </w:p>
        </w:tc>
        <w:tc>
          <w:tcPr>
            <w:tcW w:w="2252"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kern w:val="2"/>
                <w:sz w:val="28"/>
                <w:szCs w:val="28"/>
                <w:lang w:val="en-US" w:eastAsia="zh-CN" w:bidi="ar-SA"/>
              </w:rPr>
            </w:pPr>
          </w:p>
        </w:tc>
        <w:tc>
          <w:tcPr>
            <w:tcW w:w="1890"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 w:hAnsi="仿宋" w:eastAsia="仿宋" w:cs="仿宋"/>
                <w:kern w:val="2"/>
                <w:sz w:val="28"/>
                <w:szCs w:val="28"/>
                <w:lang w:val="en-US" w:eastAsia="zh-CN" w:bidi="ar-SA"/>
              </w:rPr>
            </w:pPr>
          </w:p>
        </w:tc>
      </w:tr>
      <w:tr>
        <w:tblPrEx>
          <w:tblCellMar>
            <w:top w:w="0" w:type="dxa"/>
            <w:left w:w="0" w:type="dxa"/>
            <w:bottom w:w="0" w:type="dxa"/>
            <w:right w:w="0" w:type="dxa"/>
          </w:tblCellMar>
        </w:tblPrEx>
        <w:trPr>
          <w:trHeight w:val="738" w:hRule="atLeast"/>
        </w:trPr>
        <w:tc>
          <w:tcPr>
            <w:tcW w:w="5000" w:type="pct"/>
            <w:gridSpan w:val="3"/>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ascii="仿宋" w:hAnsi="仿宋" w:eastAsia="仿宋" w:cs="仿宋"/>
                <w:sz w:val="28"/>
                <w:szCs w:val="28"/>
              </w:rPr>
            </w:pPr>
            <w:r>
              <w:rPr>
                <w:rFonts w:hint="eastAsia" w:ascii="仿宋" w:hAnsi="仿宋" w:eastAsia="仿宋" w:cs="仿宋"/>
                <w:i w:val="0"/>
                <w:iCs w:val="0"/>
                <w:color w:val="000000"/>
                <w:kern w:val="0"/>
                <w:sz w:val="24"/>
                <w:szCs w:val="24"/>
                <w:u w:val="none"/>
                <w:lang w:val="en-US" w:eastAsia="zh-CN" w:bidi="ar"/>
              </w:rPr>
              <w:t>备注：卷烟零售户户数以申请人申请时实际正常经营户数为准，未尽之处归遂平县烟草专卖局解释。</w:t>
            </w:r>
          </w:p>
        </w:tc>
      </w:tr>
    </w:tbl>
    <w:p>
      <w:pPr>
        <w:pStyle w:val="2"/>
        <w:rPr>
          <w:color w:val="auto"/>
        </w:rPr>
      </w:pPr>
    </w:p>
    <w:p>
      <w:pPr>
        <w:pStyle w:val="2"/>
        <w:rPr>
          <w:color w:val="auto"/>
        </w:rPr>
      </w:pPr>
    </w:p>
    <w:p>
      <w:pPr>
        <w:widowControl/>
        <w:spacing w:line="480" w:lineRule="exact"/>
        <w:rPr>
          <w:rFonts w:hint="eastAsia" w:ascii="仿宋_GB2312" w:hAnsi="仿宋" w:eastAsia="仿宋_GB2312" w:cs="仿宋"/>
          <w:color w:val="auto"/>
          <w:kern w:val="0"/>
          <w:sz w:val="32"/>
          <w:szCs w:val="32"/>
          <w:shd w:val="clear" w:color="auto" w:fill="FFFFFF"/>
        </w:rPr>
      </w:pP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_GB2312" w:hAnsi="仿宋" w:eastAsia="仿宋_GB2312" w:cs="仿宋"/>
          <w:color w:val="auto"/>
          <w:kern w:val="0"/>
          <w:sz w:val="32"/>
          <w:szCs w:val="32"/>
          <w:shd w:val="clear" w:color="auto" w:fill="FFFFFF"/>
        </w:rPr>
        <w:t>《</w:t>
      </w:r>
      <w:r>
        <w:rPr>
          <w:rFonts w:hint="eastAsia" w:ascii="仿宋_GB2312" w:hAnsi="仿宋" w:eastAsia="仿宋_GB2312" w:cs="仿宋"/>
          <w:color w:val="auto"/>
          <w:kern w:val="0"/>
          <w:sz w:val="32"/>
          <w:szCs w:val="32"/>
          <w:shd w:val="clear" w:color="auto" w:fill="FFFFFF"/>
          <w:lang w:eastAsia="zh-CN"/>
        </w:rPr>
        <w:t>遂平</w:t>
      </w:r>
      <w:r>
        <w:rPr>
          <w:rFonts w:hint="eastAsia" w:ascii="仿宋_GB2312" w:hAnsi="仿宋" w:eastAsia="仿宋_GB2312" w:cs="仿宋"/>
          <w:color w:val="auto"/>
          <w:kern w:val="0"/>
          <w:sz w:val="32"/>
          <w:szCs w:val="32"/>
          <w:shd w:val="clear" w:color="auto" w:fill="FFFFFF"/>
        </w:rPr>
        <w:t>县</w:t>
      </w:r>
      <w:r>
        <w:rPr>
          <w:rFonts w:hint="eastAsia" w:ascii="仿宋" w:hAnsi="仿宋" w:eastAsia="仿宋" w:cs="仿宋"/>
          <w:color w:val="auto"/>
          <w:sz w:val="32"/>
          <w:szCs w:val="32"/>
        </w:rPr>
        <w:t>烟草制品零售点间距测量办法</w:t>
      </w:r>
      <w:r>
        <w:rPr>
          <w:rFonts w:hint="eastAsia" w:ascii="仿宋_GB2312" w:hAnsi="仿宋" w:eastAsia="仿宋_GB2312" w:cs="仿宋"/>
          <w:color w:val="auto"/>
          <w:kern w:val="0"/>
          <w:sz w:val="32"/>
          <w:szCs w:val="32"/>
          <w:shd w:val="clear" w:color="auto" w:fill="FFFFFF"/>
        </w:rPr>
        <w:t>》</w:t>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1.申请点与参照零售点同侧的，按申请点至零售点可通行的直线最短距离测量：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345815" cy="1219200"/>
            <wp:effectExtent l="0" t="0" r="6985" b="0"/>
            <wp:docPr id="2" name="图片 1" descr="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同侧.png"/>
                    <pic:cNvPicPr>
                      <a:picLocks noChangeAspect="1"/>
                    </pic:cNvPicPr>
                  </pic:nvPicPr>
                  <pic:blipFill>
                    <a:blip r:embed="rId5"/>
                    <a:stretch>
                      <a:fillRect/>
                    </a:stretch>
                  </pic:blipFill>
                  <pic:spPr>
                    <a:xfrm>
                      <a:off x="0" y="0"/>
                      <a:ext cx="3439192" cy="1253394"/>
                    </a:xfrm>
                    <a:prstGeom prst="rect">
                      <a:avLst/>
                    </a:prstGeom>
                    <a:noFill/>
                    <a:ln>
                      <a:noFill/>
                    </a:ln>
                  </pic:spPr>
                </pic:pic>
              </a:graphicData>
            </a:graphic>
          </wp:inline>
        </w:drawing>
      </w:r>
    </w:p>
    <w:p>
      <w:pPr>
        <w:widowControl/>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2.申请点与参照零售点不同侧的，按申请点至零售点可通行的直线最短距离测量：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315335" cy="1470025"/>
            <wp:effectExtent l="0" t="0" r="6985" b="8255"/>
            <wp:docPr id="3" name="图片 2" descr="不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不同侧.png"/>
                    <pic:cNvPicPr>
                      <a:picLocks noChangeAspect="1"/>
                    </pic:cNvPicPr>
                  </pic:nvPicPr>
                  <pic:blipFill>
                    <a:blip r:embed="rId6"/>
                    <a:stretch>
                      <a:fillRect/>
                    </a:stretch>
                  </pic:blipFill>
                  <pic:spPr>
                    <a:xfrm>
                      <a:off x="0" y="0"/>
                      <a:ext cx="3366315" cy="1492887"/>
                    </a:xfrm>
                    <a:prstGeom prst="rect">
                      <a:avLst/>
                    </a:prstGeom>
                    <a:noFill/>
                    <a:ln>
                      <a:noFill/>
                    </a:ln>
                  </pic:spPr>
                </pic:pic>
              </a:graphicData>
            </a:graphic>
          </wp:inline>
        </w:drawing>
      </w:r>
    </w:p>
    <w:p>
      <w:pPr>
        <w:widowControl/>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3.两侧设有隔离护栏、护墙，花坛、花园的(且不可通行的)，按申请点与参照零售点之间的步行最短距离测量：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366135" cy="1480185"/>
            <wp:effectExtent l="0" t="0" r="1905" b="13335"/>
            <wp:docPr id="4" name="图片 3"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图片1.png"/>
                    <pic:cNvPicPr>
                      <a:picLocks noChangeAspect="1"/>
                    </pic:cNvPicPr>
                  </pic:nvPicPr>
                  <pic:blipFill>
                    <a:blip r:embed="rId7"/>
                    <a:stretch>
                      <a:fillRect/>
                    </a:stretch>
                  </pic:blipFill>
                  <pic:spPr>
                    <a:xfrm>
                      <a:off x="0" y="0"/>
                      <a:ext cx="3428065" cy="1507479"/>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4.申请点与参照零售点成直角或圆角或弧形的，应贴近墙角按可通行的最短距离测量：</w:t>
      </w:r>
    </w:p>
    <w:p>
      <w:pPr>
        <w:widowControl/>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3766185" cy="1631950"/>
            <wp:effectExtent l="0" t="0" r="13335" b="13970"/>
            <wp:docPr id="5" name="图片 4" descr="转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转角.png"/>
                    <pic:cNvPicPr>
                      <a:picLocks noChangeAspect="1"/>
                    </pic:cNvPicPr>
                  </pic:nvPicPr>
                  <pic:blipFill>
                    <a:blip r:embed="rId8"/>
                    <a:stretch>
                      <a:fillRect/>
                    </a:stretch>
                  </pic:blipFill>
                  <pic:spPr>
                    <a:xfrm>
                      <a:off x="0" y="0"/>
                      <a:ext cx="3859249" cy="1672273"/>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5.申请点与参照零售点属前后楼房的，如有后门可通行的，按后门可通行的最短距离测量：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1914525" cy="2266950"/>
            <wp:effectExtent l="0" t="0" r="5715" b="3810"/>
            <wp:docPr id="6" name="图片 5" descr="楼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楼房.png"/>
                    <pic:cNvPicPr>
                      <a:picLocks noChangeAspect="1"/>
                    </pic:cNvPicPr>
                  </pic:nvPicPr>
                  <pic:blipFill>
                    <a:blip r:embed="rId9"/>
                    <a:stretch>
                      <a:fillRect/>
                    </a:stretch>
                  </pic:blipFill>
                  <pic:spPr>
                    <a:xfrm>
                      <a:off x="0" y="0"/>
                      <a:ext cx="1914525" cy="2266950"/>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6.申请点位置位于十字路口的，且参照零售点位于对面的，按可通行的最短距离测量：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2079625" cy="1698625"/>
            <wp:effectExtent l="0" t="0" r="8255" b="8255"/>
            <wp:docPr id="7" name="图片 6" descr="图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图片11.png"/>
                    <pic:cNvPicPr>
                      <a:picLocks noChangeAspect="1"/>
                    </pic:cNvPicPr>
                  </pic:nvPicPr>
                  <pic:blipFill>
                    <a:blip r:embed="rId10"/>
                    <a:stretch>
                      <a:fillRect/>
                    </a:stretch>
                  </pic:blipFill>
                  <pic:spPr>
                    <a:xfrm>
                      <a:off x="0" y="0"/>
                      <a:ext cx="2110079" cy="1723232"/>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7.申请点位置位于十字路口且与参照零售点呈对角的，以最近一侧有门的内侧距离测量：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2695575" cy="2190750"/>
            <wp:effectExtent l="0" t="0" r="1905" b="3810"/>
            <wp:docPr id="8" name="图片 7" descr="图片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图片10.png"/>
                    <pic:cNvPicPr>
                      <a:picLocks noChangeAspect="1"/>
                    </pic:cNvPicPr>
                  </pic:nvPicPr>
                  <pic:blipFill>
                    <a:blip r:embed="rId11"/>
                    <a:stretch>
                      <a:fillRect/>
                    </a:stretch>
                  </pic:blipFill>
                  <pic:spPr>
                    <a:xfrm>
                      <a:off x="0" y="0"/>
                      <a:ext cx="2695575" cy="2190750"/>
                    </a:xfrm>
                    <a:prstGeom prst="rect">
                      <a:avLst/>
                    </a:prstGeom>
                    <a:noFill/>
                    <a:ln>
                      <a:noFill/>
                    </a:ln>
                  </pic:spPr>
                </pic:pic>
              </a:graphicData>
            </a:graphic>
          </wp:inline>
        </w:drawing>
      </w:r>
    </w:p>
    <w:p>
      <w:pPr>
        <w:widowControl/>
        <w:spacing w:line="480" w:lineRule="exact"/>
        <w:rPr>
          <w:rFonts w:ascii="仿宋_GB2312" w:hAnsi="仿宋" w:eastAsia="仿宋_GB2312"/>
          <w:color w:val="000000" w:themeColor="text1"/>
          <w:kern w:val="0"/>
          <w:sz w:val="28"/>
          <w:szCs w:val="28"/>
          <w14:textFill>
            <w14:solidFill>
              <w14:schemeClr w14:val="tx1"/>
            </w14:solidFill>
          </w14:textFill>
        </w:rPr>
      </w:pPr>
      <w:r>
        <w:rPr>
          <w:rFonts w:hint="eastAsia" w:ascii="仿宋_GB2312" w:hAnsi="仿宋" w:eastAsia="仿宋_GB2312"/>
          <w:color w:val="000000" w:themeColor="text1"/>
          <w:kern w:val="0"/>
          <w:sz w:val="28"/>
          <w:szCs w:val="28"/>
          <w14:textFill>
            <w14:solidFill>
              <w14:schemeClr w14:val="tx1"/>
            </w14:solidFill>
          </w14:textFill>
        </w:rPr>
        <w:t>8.申请点位置位于十字路口且与参照零售点之间有红绿灯的，并必须按要求以斑马线行走的，可沿斑马线行进的最短距离测量：</w:t>
      </w:r>
    </w:p>
    <w:p>
      <w:pPr>
        <w:widowControl/>
        <w:jc w:val="center"/>
        <w:rPr>
          <w:rFonts w:ascii="仿宋_GB2312" w:hAnsi="仿宋" w:eastAsia="仿宋_GB2312"/>
          <w:color w:val="000000" w:themeColor="text1"/>
          <w:kern w:val="0"/>
          <w:sz w:val="28"/>
          <w:szCs w:val="28"/>
          <w14:textFill>
            <w14:solidFill>
              <w14:schemeClr w14:val="tx1"/>
            </w14:solidFill>
          </w14:textFill>
        </w:rPr>
      </w:pPr>
      <w:r>
        <w:rPr>
          <w:rFonts w:ascii="仿宋_GB2312" w:hAnsi="仿宋" w:eastAsia="仿宋_GB2312"/>
          <w:color w:val="000000" w:themeColor="text1"/>
          <w:kern w:val="0"/>
          <w:sz w:val="28"/>
          <w:szCs w:val="28"/>
          <w14:textFill>
            <w14:solidFill>
              <w14:schemeClr w14:val="tx1"/>
            </w14:solidFill>
          </w14:textFill>
        </w:rPr>
        <w:drawing>
          <wp:inline distT="0" distB="0" distL="114300" distR="114300">
            <wp:extent cx="2981325" cy="2171700"/>
            <wp:effectExtent l="0" t="0" r="5715" b="7620"/>
            <wp:docPr id="9" name="图片 8" descr="图片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图片9.png"/>
                    <pic:cNvPicPr>
                      <a:picLocks noChangeAspect="1"/>
                    </pic:cNvPicPr>
                  </pic:nvPicPr>
                  <pic:blipFill>
                    <a:blip r:embed="rId12"/>
                    <a:stretch>
                      <a:fillRect/>
                    </a:stretch>
                  </pic:blipFill>
                  <pic:spPr>
                    <a:xfrm>
                      <a:off x="0" y="0"/>
                      <a:ext cx="2981325" cy="2171700"/>
                    </a:xfrm>
                    <a:prstGeom prst="rect">
                      <a:avLst/>
                    </a:prstGeom>
                    <a:noFill/>
                    <a:ln>
                      <a:noFill/>
                    </a:ln>
                  </pic:spPr>
                </pic:pic>
              </a:graphicData>
            </a:graphic>
          </wp:inline>
        </w:drawing>
      </w:r>
    </w:p>
    <w:p>
      <w:pPr>
        <w:widowControl/>
        <w:spacing w:line="480" w:lineRule="exact"/>
        <w:rPr>
          <w:rFonts w:ascii="仿宋_GB2312" w:eastAsia="仿宋_GB2312"/>
          <w:color w:val="000000" w:themeColor="text1"/>
          <w:kern w:val="0"/>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二、其他特殊道路情况的测量，按照可通行的最短距离测量。</w:t>
      </w:r>
    </w:p>
    <w:p>
      <w:pPr>
        <w:widowControl/>
        <w:spacing w:line="480" w:lineRule="exact"/>
        <w:rPr>
          <w:rFonts w:ascii="仿宋_GB2312" w:eastAsia="仿宋_GB2312"/>
          <w:color w:val="000000" w:themeColor="text1"/>
          <w:kern w:val="0"/>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三、测量距离时，以参照零售点通行口最近的边或角为起始点，申请点通行口最近的边或角为终点，按可通行的线路测量。如果零售点或申请点有多个通行口的，以相对于两者之间最近的边或角为测量点。</w:t>
      </w:r>
    </w:p>
    <w:p>
      <w:pPr>
        <w:widowControl/>
        <w:spacing w:line="480" w:lineRule="exac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color w:val="000000" w:themeColor="text1"/>
          <w:kern w:val="0"/>
          <w:sz w:val="28"/>
          <w:szCs w:val="28"/>
          <w14:textFill>
            <w14:solidFill>
              <w14:schemeClr w14:val="tx1"/>
            </w14:solidFill>
          </w14:textFill>
        </w:rPr>
        <w:t>四、本测量办法由</w:t>
      </w:r>
      <w:r>
        <w:rPr>
          <w:rFonts w:hint="eastAsia" w:ascii="仿宋_GB2312" w:eastAsia="仿宋_GB2312"/>
          <w:color w:val="000000" w:themeColor="text1"/>
          <w:kern w:val="0"/>
          <w:sz w:val="28"/>
          <w:szCs w:val="28"/>
          <w:lang w:eastAsia="zh-CN"/>
          <w14:textFill>
            <w14:solidFill>
              <w14:schemeClr w14:val="tx1"/>
            </w14:solidFill>
          </w14:textFill>
        </w:rPr>
        <w:t>遂平</w:t>
      </w:r>
      <w:r>
        <w:rPr>
          <w:rFonts w:hint="eastAsia" w:ascii="仿宋_GB2312" w:eastAsia="仿宋_GB2312"/>
          <w:color w:val="000000" w:themeColor="text1"/>
          <w:kern w:val="0"/>
          <w:sz w:val="28"/>
          <w:szCs w:val="28"/>
          <w14:textFill>
            <w14:solidFill>
              <w14:schemeClr w14:val="tx1"/>
            </w14:solidFill>
          </w14:textFill>
        </w:rPr>
        <w:t>县烟草专卖局负责解释。如遇本办法未明确测量方法的特殊情形时，其测量方法由</w:t>
      </w:r>
      <w:r>
        <w:rPr>
          <w:rFonts w:hint="eastAsia" w:ascii="仿宋_GB2312" w:eastAsia="仿宋_GB2312"/>
          <w:color w:val="000000" w:themeColor="text1"/>
          <w:kern w:val="0"/>
          <w:sz w:val="28"/>
          <w:szCs w:val="28"/>
          <w:lang w:eastAsia="zh-CN"/>
          <w14:textFill>
            <w14:solidFill>
              <w14:schemeClr w14:val="tx1"/>
            </w14:solidFill>
          </w14:textFill>
        </w:rPr>
        <w:t>遂平</w:t>
      </w:r>
      <w:r>
        <w:rPr>
          <w:rFonts w:hint="eastAsia" w:ascii="仿宋_GB2312" w:eastAsia="仿宋_GB2312"/>
          <w:color w:val="000000" w:themeColor="text1"/>
          <w:kern w:val="0"/>
          <w:sz w:val="28"/>
          <w:szCs w:val="28"/>
          <w14:textFill>
            <w14:solidFill>
              <w14:schemeClr w14:val="tx1"/>
            </w14:solidFill>
          </w14:textFill>
        </w:rPr>
        <w:t>县烟草专卖局确定.</w:t>
      </w:r>
    </w:p>
    <w:p>
      <w:pPr>
        <w:pStyle w:val="2"/>
        <w:rPr>
          <w:color w:val="auto"/>
        </w:rPr>
      </w:pPr>
    </w:p>
    <w:sectPr>
      <w:footerReference r:id="rId3" w:type="default"/>
      <w:pgSz w:w="11906" w:h="16838"/>
      <w:pgMar w:top="2098" w:right="1474" w:bottom="1985" w:left="1588" w:header="851" w:footer="992" w:gutter="0"/>
      <w:pgNumType w:fmt="numberInDash"/>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9715500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- 1 -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765pt;height:144pt;width:144pt;mso-position-horizontal:outside;mso-position-horizontal-relative:margin;mso-position-vertical-relative:page;mso-wrap-style:none;z-index:251659264;mso-width-relative:page;mso-height-relative:page;" filled="f" stroked="f" coordsize="21600,21600" o:gfxdata="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XRNJw0gAAAAoBAAAPAAAAAAAAAAEAIAAAACIAAABkcnMvZG93&#10;bnJldi54bWxQSwECFAAUAAAACACHTuJAFoqC7M0BAACoAwAADgAAAAAAAAABACAAAAAhAQAAZHJz&#10;L2Uyb0RvYy54bWxQSwUGAAAAAAYABgBZAQAAYAUAAAAA&#10;">
              <v:fill on="f" focussize="0,0"/>
              <v:stroke on="f"/>
              <v:imagedata o:title=""/>
              <o:lock v:ext="edit" aspectratio="f"/>
              <v:textbox inset="0mm,0mm,0mm,0mm" style="mso-fit-shape-to-text:t;">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- 1 -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F2"/>
    <w:rsid w:val="0000215E"/>
    <w:rsid w:val="00006DE7"/>
    <w:rsid w:val="00016EE0"/>
    <w:rsid w:val="000203B3"/>
    <w:rsid w:val="0002719A"/>
    <w:rsid w:val="00027712"/>
    <w:rsid w:val="00033AB2"/>
    <w:rsid w:val="00054D0B"/>
    <w:rsid w:val="000649AA"/>
    <w:rsid w:val="0008187E"/>
    <w:rsid w:val="000D4575"/>
    <w:rsid w:val="000D5979"/>
    <w:rsid w:val="000E3CB6"/>
    <w:rsid w:val="000F6BDE"/>
    <w:rsid w:val="001636AB"/>
    <w:rsid w:val="00170035"/>
    <w:rsid w:val="00171DB5"/>
    <w:rsid w:val="00172083"/>
    <w:rsid w:val="00173F88"/>
    <w:rsid w:val="00180158"/>
    <w:rsid w:val="00190148"/>
    <w:rsid w:val="00194B90"/>
    <w:rsid w:val="001B74BF"/>
    <w:rsid w:val="001C7824"/>
    <w:rsid w:val="001F0BD2"/>
    <w:rsid w:val="001F4BEC"/>
    <w:rsid w:val="00214AAD"/>
    <w:rsid w:val="00234ED2"/>
    <w:rsid w:val="002366E1"/>
    <w:rsid w:val="00244F6F"/>
    <w:rsid w:val="00245D61"/>
    <w:rsid w:val="00247F14"/>
    <w:rsid w:val="00250B6E"/>
    <w:rsid w:val="00264D89"/>
    <w:rsid w:val="002B30E2"/>
    <w:rsid w:val="002C4315"/>
    <w:rsid w:val="002D7F5B"/>
    <w:rsid w:val="002F2D3A"/>
    <w:rsid w:val="003175A4"/>
    <w:rsid w:val="003229A2"/>
    <w:rsid w:val="00334F4E"/>
    <w:rsid w:val="00343E3F"/>
    <w:rsid w:val="00347F48"/>
    <w:rsid w:val="003542B4"/>
    <w:rsid w:val="00363FB6"/>
    <w:rsid w:val="00367FA3"/>
    <w:rsid w:val="00373677"/>
    <w:rsid w:val="00381215"/>
    <w:rsid w:val="0039478C"/>
    <w:rsid w:val="003966EB"/>
    <w:rsid w:val="003A7813"/>
    <w:rsid w:val="003C69ED"/>
    <w:rsid w:val="003E07D4"/>
    <w:rsid w:val="00416C15"/>
    <w:rsid w:val="0043052E"/>
    <w:rsid w:val="00436FDD"/>
    <w:rsid w:val="00437B20"/>
    <w:rsid w:val="00446052"/>
    <w:rsid w:val="00454984"/>
    <w:rsid w:val="00464DC7"/>
    <w:rsid w:val="00467D57"/>
    <w:rsid w:val="004778D4"/>
    <w:rsid w:val="004D375E"/>
    <w:rsid w:val="004D71D3"/>
    <w:rsid w:val="00502438"/>
    <w:rsid w:val="00504207"/>
    <w:rsid w:val="00512CB1"/>
    <w:rsid w:val="00525F22"/>
    <w:rsid w:val="00531A83"/>
    <w:rsid w:val="00543D2B"/>
    <w:rsid w:val="005538B5"/>
    <w:rsid w:val="00580B2B"/>
    <w:rsid w:val="005820B5"/>
    <w:rsid w:val="005826DF"/>
    <w:rsid w:val="0059752D"/>
    <w:rsid w:val="005C1CE2"/>
    <w:rsid w:val="005D489B"/>
    <w:rsid w:val="0063531C"/>
    <w:rsid w:val="00646674"/>
    <w:rsid w:val="00655789"/>
    <w:rsid w:val="006738BC"/>
    <w:rsid w:val="00674D73"/>
    <w:rsid w:val="006775DC"/>
    <w:rsid w:val="0069036E"/>
    <w:rsid w:val="006C2EA2"/>
    <w:rsid w:val="006E1B59"/>
    <w:rsid w:val="006F701F"/>
    <w:rsid w:val="007248BC"/>
    <w:rsid w:val="00734DDA"/>
    <w:rsid w:val="00755BF8"/>
    <w:rsid w:val="00763EC6"/>
    <w:rsid w:val="0077254C"/>
    <w:rsid w:val="007777B1"/>
    <w:rsid w:val="00792131"/>
    <w:rsid w:val="00795931"/>
    <w:rsid w:val="007A7595"/>
    <w:rsid w:val="007B12F2"/>
    <w:rsid w:val="007B2421"/>
    <w:rsid w:val="007C1C32"/>
    <w:rsid w:val="007C707C"/>
    <w:rsid w:val="007D576E"/>
    <w:rsid w:val="007E7449"/>
    <w:rsid w:val="008028DF"/>
    <w:rsid w:val="00826798"/>
    <w:rsid w:val="00827FD4"/>
    <w:rsid w:val="00833EE5"/>
    <w:rsid w:val="008943EF"/>
    <w:rsid w:val="008B0872"/>
    <w:rsid w:val="008C6D2B"/>
    <w:rsid w:val="008E4508"/>
    <w:rsid w:val="008E78BA"/>
    <w:rsid w:val="008F2928"/>
    <w:rsid w:val="00920AD8"/>
    <w:rsid w:val="00921A32"/>
    <w:rsid w:val="009229F0"/>
    <w:rsid w:val="0093532B"/>
    <w:rsid w:val="00951C4C"/>
    <w:rsid w:val="00954259"/>
    <w:rsid w:val="009649EF"/>
    <w:rsid w:val="009C2C34"/>
    <w:rsid w:val="009C480F"/>
    <w:rsid w:val="009D0C09"/>
    <w:rsid w:val="009F21B2"/>
    <w:rsid w:val="00A16890"/>
    <w:rsid w:val="00A51013"/>
    <w:rsid w:val="00A6072C"/>
    <w:rsid w:val="00A77B03"/>
    <w:rsid w:val="00AA267F"/>
    <w:rsid w:val="00AB65CC"/>
    <w:rsid w:val="00AC432D"/>
    <w:rsid w:val="00AD0FDF"/>
    <w:rsid w:val="00AD7B5F"/>
    <w:rsid w:val="00B51870"/>
    <w:rsid w:val="00B81606"/>
    <w:rsid w:val="00B81E9D"/>
    <w:rsid w:val="00B82224"/>
    <w:rsid w:val="00B8288A"/>
    <w:rsid w:val="00B832A9"/>
    <w:rsid w:val="00B90667"/>
    <w:rsid w:val="00BD259A"/>
    <w:rsid w:val="00C1419D"/>
    <w:rsid w:val="00C2113F"/>
    <w:rsid w:val="00C27299"/>
    <w:rsid w:val="00C301F7"/>
    <w:rsid w:val="00C4767B"/>
    <w:rsid w:val="00C566DA"/>
    <w:rsid w:val="00C7104D"/>
    <w:rsid w:val="00C74048"/>
    <w:rsid w:val="00C7725A"/>
    <w:rsid w:val="00CA425B"/>
    <w:rsid w:val="00CA4C3E"/>
    <w:rsid w:val="00CB59FF"/>
    <w:rsid w:val="00CC2C16"/>
    <w:rsid w:val="00CC3506"/>
    <w:rsid w:val="00CC6C09"/>
    <w:rsid w:val="00CD6304"/>
    <w:rsid w:val="00CF2D76"/>
    <w:rsid w:val="00D058D6"/>
    <w:rsid w:val="00D17688"/>
    <w:rsid w:val="00D325EB"/>
    <w:rsid w:val="00D40962"/>
    <w:rsid w:val="00D45C94"/>
    <w:rsid w:val="00D54723"/>
    <w:rsid w:val="00D81C84"/>
    <w:rsid w:val="00D909FD"/>
    <w:rsid w:val="00D91988"/>
    <w:rsid w:val="00D96E3A"/>
    <w:rsid w:val="00DB7CBC"/>
    <w:rsid w:val="00DF3644"/>
    <w:rsid w:val="00DF592E"/>
    <w:rsid w:val="00DF716F"/>
    <w:rsid w:val="00E04FA8"/>
    <w:rsid w:val="00E7526E"/>
    <w:rsid w:val="00E75698"/>
    <w:rsid w:val="00E91737"/>
    <w:rsid w:val="00E922A3"/>
    <w:rsid w:val="00E9602B"/>
    <w:rsid w:val="00EB4971"/>
    <w:rsid w:val="00EB54AE"/>
    <w:rsid w:val="00EC6795"/>
    <w:rsid w:val="00EE1AA5"/>
    <w:rsid w:val="00EE6254"/>
    <w:rsid w:val="00EF0C36"/>
    <w:rsid w:val="00EF77B8"/>
    <w:rsid w:val="00F03CC4"/>
    <w:rsid w:val="00F06D92"/>
    <w:rsid w:val="00F359B5"/>
    <w:rsid w:val="00F41901"/>
    <w:rsid w:val="00F5011F"/>
    <w:rsid w:val="00F97973"/>
    <w:rsid w:val="00FE0EB9"/>
    <w:rsid w:val="00FF4FD0"/>
    <w:rsid w:val="00FF5972"/>
    <w:rsid w:val="016B4248"/>
    <w:rsid w:val="02301CA5"/>
    <w:rsid w:val="03365ACF"/>
    <w:rsid w:val="042C5050"/>
    <w:rsid w:val="043C3DC2"/>
    <w:rsid w:val="06BF6B8E"/>
    <w:rsid w:val="07045C93"/>
    <w:rsid w:val="07C95A36"/>
    <w:rsid w:val="0FA51BF2"/>
    <w:rsid w:val="10BD6FCC"/>
    <w:rsid w:val="13DC33C2"/>
    <w:rsid w:val="14F242F0"/>
    <w:rsid w:val="15D3160F"/>
    <w:rsid w:val="15F90B5A"/>
    <w:rsid w:val="16377EF0"/>
    <w:rsid w:val="16B1712A"/>
    <w:rsid w:val="175C22E9"/>
    <w:rsid w:val="1811752D"/>
    <w:rsid w:val="1A713ACA"/>
    <w:rsid w:val="1B214E4A"/>
    <w:rsid w:val="1D1A6C8A"/>
    <w:rsid w:val="1D691449"/>
    <w:rsid w:val="1EB71CC5"/>
    <w:rsid w:val="1F4D24D0"/>
    <w:rsid w:val="226D2455"/>
    <w:rsid w:val="238A138F"/>
    <w:rsid w:val="24E47D46"/>
    <w:rsid w:val="27EB6E55"/>
    <w:rsid w:val="2A3D6929"/>
    <w:rsid w:val="2B774CBF"/>
    <w:rsid w:val="2C290F75"/>
    <w:rsid w:val="2CBF125B"/>
    <w:rsid w:val="2D1E1442"/>
    <w:rsid w:val="2F960551"/>
    <w:rsid w:val="300B7912"/>
    <w:rsid w:val="31943B8F"/>
    <w:rsid w:val="31AF047B"/>
    <w:rsid w:val="31BB46BD"/>
    <w:rsid w:val="32DE6D77"/>
    <w:rsid w:val="378F5239"/>
    <w:rsid w:val="379D4F37"/>
    <w:rsid w:val="38BC7581"/>
    <w:rsid w:val="3B940A74"/>
    <w:rsid w:val="3BFB2F42"/>
    <w:rsid w:val="3F351B40"/>
    <w:rsid w:val="405E20E3"/>
    <w:rsid w:val="40AC65E2"/>
    <w:rsid w:val="419660CA"/>
    <w:rsid w:val="42F1428D"/>
    <w:rsid w:val="435E3F4F"/>
    <w:rsid w:val="43DF232A"/>
    <w:rsid w:val="45836105"/>
    <w:rsid w:val="458A364D"/>
    <w:rsid w:val="4C3D7430"/>
    <w:rsid w:val="4EE05E1A"/>
    <w:rsid w:val="4F8F77C6"/>
    <w:rsid w:val="4FF752CA"/>
    <w:rsid w:val="518428E1"/>
    <w:rsid w:val="53C975EA"/>
    <w:rsid w:val="55E20DBC"/>
    <w:rsid w:val="578B3612"/>
    <w:rsid w:val="58353806"/>
    <w:rsid w:val="58F23AA6"/>
    <w:rsid w:val="5E06660F"/>
    <w:rsid w:val="5E432FDF"/>
    <w:rsid w:val="5F326CF1"/>
    <w:rsid w:val="61C976E1"/>
    <w:rsid w:val="62E023E7"/>
    <w:rsid w:val="63905AA1"/>
    <w:rsid w:val="652E7ED6"/>
    <w:rsid w:val="66334CA3"/>
    <w:rsid w:val="66523C71"/>
    <w:rsid w:val="68145AF6"/>
    <w:rsid w:val="69DE14A9"/>
    <w:rsid w:val="6CA42196"/>
    <w:rsid w:val="703D5435"/>
    <w:rsid w:val="70501789"/>
    <w:rsid w:val="70F32194"/>
    <w:rsid w:val="72F37ABC"/>
    <w:rsid w:val="74262F8D"/>
    <w:rsid w:val="75270E01"/>
    <w:rsid w:val="776D4036"/>
    <w:rsid w:val="78045B08"/>
    <w:rsid w:val="7899787D"/>
    <w:rsid w:val="7A207439"/>
    <w:rsid w:val="7A3164F3"/>
    <w:rsid w:val="7B751A3F"/>
    <w:rsid w:val="7B7B2C52"/>
    <w:rsid w:val="7BA47CB2"/>
    <w:rsid w:val="7D1A7C42"/>
    <w:rsid w:val="7D2F4F98"/>
    <w:rsid w:val="7E152F37"/>
    <w:rsid w:val="7FCA40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iPriority="99"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styleId="10">
    <w:name w:val="Hyperlink"/>
    <w:basedOn w:val="8"/>
    <w:semiHidden/>
    <w:unhideWhenUsed/>
    <w:qFormat/>
    <w:uiPriority w:val="99"/>
    <w:rPr>
      <w:color w:val="0000FF"/>
      <w:u w:val="single"/>
    </w:rPr>
  </w:style>
  <w:style w:type="character" w:customStyle="1" w:styleId="11">
    <w:name w:val="页脚 Char"/>
    <w:link w:val="4"/>
    <w:qFormat/>
    <w:locked/>
    <w:uiPriority w:val="99"/>
    <w:rPr>
      <w:sz w:val="18"/>
      <w:szCs w:val="18"/>
    </w:rPr>
  </w:style>
  <w:style w:type="character" w:customStyle="1" w:styleId="12">
    <w:name w:val="页眉 Char"/>
    <w:link w:val="5"/>
    <w:qFormat/>
    <w:locked/>
    <w:uiPriority w:val="99"/>
    <w:rPr>
      <w:rFonts w:ascii="Calibri" w:hAnsi="Calibri" w:cs="Calibri"/>
      <w:kern w:val="2"/>
      <w:sz w:val="18"/>
      <w:szCs w:val="18"/>
    </w:rPr>
  </w:style>
  <w:style w:type="character" w:customStyle="1" w:styleId="13">
    <w:name w:val="批注框文本 Char"/>
    <w:basedOn w:val="8"/>
    <w:link w:val="3"/>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7501</Words>
  <Characters>7841</Characters>
  <Lines>35</Lines>
  <Paragraphs>9</Paragraphs>
  <TotalTime>6</TotalTime>
  <ScaleCrop>false</ScaleCrop>
  <LinksUpToDate>false</LinksUpToDate>
  <CharactersWithSpaces>7893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2014-06-03T03:04:00Z</dcterms:created>
  <dc:creator>Lenovo</dc:creator>
  <cp:lastModifiedBy>水水</cp:lastModifiedBy>
  <cp:lastPrinted>2021-09-26T07:10:00Z</cp:lastPrinted>
  <dcterms:modified xsi:type="dcterms:W3CDTF">2021-09-28T07:20:16Z</dcterms:modified>
  <dc:title>紧急程度位置</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3C021505E50B473CA219974F0FBFC8E5</vt:lpwstr>
  </property>
</Properties>
</file>